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2320" w14:textId="77777777" w:rsidR="00566950" w:rsidRDefault="00566950" w:rsidP="00566950">
      <w:pPr>
        <w:pStyle w:val="1bodycopy10pt"/>
      </w:pPr>
    </w:p>
    <w:p w14:paraId="59F765D4" w14:textId="77777777" w:rsidR="00566950" w:rsidRPr="00F76E90" w:rsidRDefault="00566950" w:rsidP="00566950">
      <w:pPr>
        <w:pStyle w:val="Caption1"/>
        <w:spacing w:line="360" w:lineRule="auto"/>
        <w:rPr>
          <w:rFonts w:cs="Arial"/>
          <w:i w:val="0"/>
          <w:color w:val="000000"/>
          <w:szCs w:val="20"/>
          <w:lang w:val="en-GB"/>
        </w:rPr>
      </w:pPr>
    </w:p>
    <w:p w14:paraId="030A62BE" w14:textId="77777777" w:rsidR="00566950" w:rsidRPr="00F76E90" w:rsidRDefault="00566950" w:rsidP="00566950">
      <w:pPr>
        <w:pStyle w:val="Caption1"/>
        <w:spacing w:line="360" w:lineRule="auto"/>
        <w:rPr>
          <w:rFonts w:cs="Arial"/>
          <w:i w:val="0"/>
          <w:color w:val="000000"/>
          <w:szCs w:val="20"/>
          <w:lang w:val="en-GB"/>
        </w:rPr>
      </w:pPr>
    </w:p>
    <w:p w14:paraId="407AB5A4" w14:textId="77777777" w:rsidR="00566950" w:rsidRPr="00F76E90" w:rsidRDefault="00566950" w:rsidP="00566950">
      <w:pPr>
        <w:pStyle w:val="Caption1"/>
        <w:spacing w:line="360" w:lineRule="auto"/>
        <w:rPr>
          <w:rFonts w:cs="Arial"/>
          <w:i w:val="0"/>
          <w:color w:val="000000"/>
          <w:szCs w:val="20"/>
          <w:lang w:val="en-GB"/>
        </w:rPr>
      </w:pPr>
    </w:p>
    <w:p w14:paraId="3E972B46" w14:textId="77777777" w:rsidR="00566950" w:rsidRPr="0057663E" w:rsidRDefault="00566950" w:rsidP="00566950">
      <w:pPr>
        <w:rPr>
          <w:rFonts w:cs="Arial"/>
          <w:b/>
          <w:u w:val="single"/>
        </w:rPr>
      </w:pPr>
    </w:p>
    <w:p w14:paraId="4863ECFA" w14:textId="4DE03050" w:rsidR="00566950" w:rsidRPr="0057663E" w:rsidRDefault="00566950" w:rsidP="00566950">
      <w:pPr>
        <w:jc w:val="center"/>
        <w:rPr>
          <w:rFonts w:cs="Arial"/>
          <w:b/>
          <w:u w:val="single"/>
        </w:rPr>
      </w:pPr>
      <w:r w:rsidRPr="00CA5B02">
        <w:rPr>
          <w:rFonts w:cs="Arial"/>
          <w:noProof/>
          <w:color w:val="000000"/>
          <w:szCs w:val="20"/>
        </w:rPr>
        <w:drawing>
          <wp:inline distT="0" distB="0" distL="0" distR="0" wp14:anchorId="0F87624F" wp14:editId="322844B2">
            <wp:extent cx="5867400" cy="17983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798320"/>
                    </a:xfrm>
                    <a:prstGeom prst="rect">
                      <a:avLst/>
                    </a:prstGeom>
                    <a:noFill/>
                    <a:ln>
                      <a:noFill/>
                    </a:ln>
                  </pic:spPr>
                </pic:pic>
              </a:graphicData>
            </a:graphic>
          </wp:inline>
        </w:drawing>
      </w:r>
    </w:p>
    <w:p w14:paraId="3C8716C6" w14:textId="77777777" w:rsidR="00566950" w:rsidRPr="0057663E" w:rsidRDefault="00566950" w:rsidP="00566950">
      <w:pPr>
        <w:rPr>
          <w:rFonts w:cs="Arial"/>
          <w:b/>
          <w:sz w:val="56"/>
          <w:szCs w:val="56"/>
        </w:rPr>
      </w:pPr>
    </w:p>
    <w:p w14:paraId="25818F9C" w14:textId="77777777" w:rsidR="00566950" w:rsidRDefault="00566950" w:rsidP="00566950">
      <w:pPr>
        <w:rPr>
          <w:rFonts w:cs="Arial"/>
          <w:b/>
          <w:sz w:val="56"/>
          <w:szCs w:val="56"/>
        </w:rPr>
      </w:pPr>
    </w:p>
    <w:p w14:paraId="766F19CD" w14:textId="5CE09621" w:rsidR="00566950" w:rsidRPr="0057663E" w:rsidRDefault="005F7FED" w:rsidP="00566950">
      <w:pPr>
        <w:jc w:val="center"/>
        <w:rPr>
          <w:rFonts w:cs="Arial"/>
          <w:b/>
          <w:sz w:val="56"/>
          <w:szCs w:val="56"/>
        </w:rPr>
      </w:pPr>
      <w:r>
        <w:rPr>
          <w:rFonts w:cs="Arial"/>
          <w:b/>
          <w:sz w:val="56"/>
          <w:szCs w:val="56"/>
        </w:rPr>
        <w:t>Suspension and Permanent Exclusion Policy</w:t>
      </w:r>
    </w:p>
    <w:p w14:paraId="1F3DCE47" w14:textId="77777777" w:rsidR="00566950" w:rsidRDefault="00566950" w:rsidP="00566950">
      <w:pPr>
        <w:jc w:val="center"/>
        <w:rPr>
          <w:rFonts w:cs="Arial"/>
          <w:b/>
          <w:sz w:val="56"/>
          <w:szCs w:val="56"/>
        </w:rPr>
      </w:pPr>
    </w:p>
    <w:p w14:paraId="211F3690" w14:textId="77777777" w:rsidR="00566950" w:rsidRPr="0057663E" w:rsidRDefault="00566950" w:rsidP="00566950">
      <w:pPr>
        <w:jc w:val="center"/>
        <w:rPr>
          <w:rFonts w:cs="Arial"/>
          <w:b/>
          <w:sz w:val="56"/>
          <w:szCs w:val="56"/>
        </w:rPr>
      </w:pPr>
    </w:p>
    <w:p w14:paraId="457CF1B4" w14:textId="77777777" w:rsidR="00566950" w:rsidRPr="00CA5B02" w:rsidRDefault="00566950" w:rsidP="00566950">
      <w:pPr>
        <w:jc w:val="center"/>
        <w:rPr>
          <w:rFonts w:cs="Arial"/>
          <w:b/>
          <w:color w:val="000000"/>
          <w:sz w:val="56"/>
          <w:szCs w:val="56"/>
        </w:rPr>
      </w:pPr>
    </w:p>
    <w:p w14:paraId="6551537D" w14:textId="77777777" w:rsidR="00566950" w:rsidRPr="00CA5B02" w:rsidRDefault="00566950" w:rsidP="00566950">
      <w:pPr>
        <w:jc w:val="center"/>
        <w:rPr>
          <w:rFonts w:cs="Arial"/>
          <w:b/>
          <w:color w:val="000000"/>
          <w:sz w:val="56"/>
          <w:szCs w:val="56"/>
        </w:rPr>
      </w:pPr>
      <w:r w:rsidRPr="00CA5B02">
        <w:rPr>
          <w:rFonts w:cs="Arial"/>
          <w:b/>
          <w:color w:val="000000"/>
          <w:sz w:val="56"/>
          <w:szCs w:val="56"/>
        </w:rPr>
        <w:t>Reviewed: September 202</w:t>
      </w:r>
      <w:r>
        <w:rPr>
          <w:rFonts w:cs="Arial"/>
          <w:b/>
          <w:color w:val="000000"/>
          <w:sz w:val="56"/>
          <w:szCs w:val="56"/>
        </w:rPr>
        <w:t>2</w:t>
      </w:r>
    </w:p>
    <w:p w14:paraId="7BFCDF16" w14:textId="77777777" w:rsidR="00566950" w:rsidRPr="00CA5B02" w:rsidRDefault="00566950" w:rsidP="00566950">
      <w:pPr>
        <w:jc w:val="center"/>
        <w:rPr>
          <w:rFonts w:cs="Arial"/>
          <w:b/>
          <w:color w:val="000000"/>
          <w:sz w:val="56"/>
          <w:szCs w:val="56"/>
        </w:rPr>
      </w:pPr>
      <w:r w:rsidRPr="00CA5B02">
        <w:rPr>
          <w:rFonts w:cs="Arial"/>
          <w:b/>
          <w:color w:val="000000"/>
          <w:sz w:val="56"/>
          <w:szCs w:val="56"/>
        </w:rPr>
        <w:t>Next Review: September 202</w:t>
      </w:r>
      <w:r>
        <w:rPr>
          <w:rFonts w:cs="Arial"/>
          <w:b/>
          <w:color w:val="000000"/>
          <w:sz w:val="56"/>
          <w:szCs w:val="56"/>
        </w:rPr>
        <w:t>3</w:t>
      </w:r>
    </w:p>
    <w:p w14:paraId="2F0758C9" w14:textId="77777777" w:rsidR="00566950" w:rsidRDefault="00566950" w:rsidP="00566950">
      <w:pPr>
        <w:pStyle w:val="1bodycopy10pt"/>
      </w:pPr>
    </w:p>
    <w:p w14:paraId="31B3179B" w14:textId="77777777" w:rsidR="00A04B6A" w:rsidRDefault="003B0248">
      <w:pPr>
        <w:rPr>
          <w:rFonts w:ascii="Arial" w:hAnsi="Arial" w:cs="Arial"/>
          <w:b/>
          <w:bCs/>
          <w:color w:val="000000"/>
          <w:sz w:val="28"/>
          <w:szCs w:val="28"/>
        </w:rPr>
      </w:pPr>
      <w:r>
        <w:rPr>
          <w:rFonts w:ascii="Arial" w:hAnsi="Arial" w:cs="Arial"/>
          <w:b/>
          <w:bCs/>
          <w:color w:val="000000"/>
          <w:sz w:val="28"/>
          <w:szCs w:val="28"/>
        </w:rPr>
        <w:br w:type="page"/>
      </w:r>
    </w:p>
    <w:p w14:paraId="346288A8" w14:textId="77777777" w:rsidR="00A04B6A" w:rsidRPr="00853F11" w:rsidRDefault="00A04B6A">
      <w:pPr>
        <w:spacing w:after="0" w:line="276" w:lineRule="auto"/>
        <w:rPr>
          <w:rFonts w:ascii="Arial" w:hAnsi="Arial" w:cs="Arial"/>
        </w:rPr>
      </w:pPr>
    </w:p>
    <w:p w14:paraId="43216222" w14:textId="77777777" w:rsidR="00A04B6A" w:rsidRPr="005F7FED" w:rsidRDefault="003B0248" w:rsidP="005F7FED">
      <w:pPr>
        <w:pStyle w:val="TOCHeading"/>
        <w:spacing w:before="0" w:line="360" w:lineRule="auto"/>
        <w:jc w:val="center"/>
        <w:rPr>
          <w:rFonts w:ascii="Arial" w:hAnsi="Arial" w:cs="Arial"/>
          <w:b/>
          <w:color w:val="auto"/>
          <w:sz w:val="20"/>
          <w:szCs w:val="20"/>
          <w:u w:val="single"/>
        </w:rPr>
      </w:pPr>
      <w:r w:rsidRPr="005F7FED">
        <w:rPr>
          <w:rFonts w:ascii="Arial" w:hAnsi="Arial" w:cs="Arial"/>
          <w:b/>
          <w:color w:val="auto"/>
          <w:sz w:val="20"/>
          <w:szCs w:val="20"/>
          <w:u w:val="single"/>
        </w:rPr>
        <w:t>Contents</w:t>
      </w:r>
    </w:p>
    <w:p w14:paraId="72BE88AB" w14:textId="77777777" w:rsidR="00A04B6A" w:rsidRPr="005F7FED" w:rsidRDefault="003B0248" w:rsidP="005F7FED">
      <w:pPr>
        <w:pStyle w:val="TOC1"/>
        <w:tabs>
          <w:tab w:val="right" w:leader="dot" w:pos="9736"/>
        </w:tabs>
        <w:spacing w:after="0" w:line="360" w:lineRule="auto"/>
        <w:rPr>
          <w:rFonts w:eastAsia="Times New Roman" w:cs="Arial"/>
          <w:noProof/>
          <w:szCs w:val="20"/>
          <w:lang w:val="en-GB" w:eastAsia="en-GB"/>
        </w:rPr>
      </w:pPr>
      <w:r w:rsidRPr="005F7FED">
        <w:rPr>
          <w:rFonts w:cs="Arial"/>
          <w:bCs/>
          <w:noProof/>
          <w:szCs w:val="20"/>
        </w:rPr>
        <w:fldChar w:fldCharType="begin"/>
      </w:r>
      <w:r w:rsidRPr="005F7FED">
        <w:rPr>
          <w:rFonts w:cs="Arial"/>
          <w:bCs/>
          <w:noProof/>
          <w:szCs w:val="20"/>
        </w:rPr>
        <w:instrText xml:space="preserve"> TOC \o "1-3" \h \z \u </w:instrText>
      </w:r>
      <w:r w:rsidRPr="005F7FED">
        <w:rPr>
          <w:rFonts w:cs="Arial"/>
          <w:bCs/>
          <w:noProof/>
          <w:szCs w:val="20"/>
        </w:rPr>
        <w:fldChar w:fldCharType="separate"/>
      </w:r>
      <w:hyperlink w:anchor="_Toc87533032" w:history="1">
        <w:r w:rsidRPr="005F7FED">
          <w:rPr>
            <w:rStyle w:val="Hyperlink"/>
            <w:rFonts w:cs="Arial"/>
            <w:noProof/>
            <w:color w:val="auto"/>
            <w:szCs w:val="20"/>
          </w:rPr>
          <w:t>1. Aims</w:t>
        </w:r>
        <w:r w:rsidRPr="005F7FED">
          <w:rPr>
            <w:rFonts w:cs="Arial"/>
            <w:noProof/>
            <w:webHidden/>
            <w:szCs w:val="20"/>
          </w:rPr>
          <w:tab/>
        </w:r>
        <w:r w:rsidRPr="005F7FED">
          <w:rPr>
            <w:rFonts w:cs="Arial"/>
            <w:noProof/>
            <w:webHidden/>
            <w:szCs w:val="20"/>
          </w:rPr>
          <w:fldChar w:fldCharType="begin"/>
        </w:r>
        <w:r w:rsidRPr="005F7FED">
          <w:rPr>
            <w:rFonts w:cs="Arial"/>
            <w:noProof/>
            <w:webHidden/>
            <w:szCs w:val="20"/>
          </w:rPr>
          <w:instrText xml:space="preserve"> PAGEREF _Toc87533032 \h </w:instrText>
        </w:r>
        <w:r w:rsidRPr="005F7FED">
          <w:rPr>
            <w:rFonts w:cs="Arial"/>
            <w:noProof/>
            <w:webHidden/>
            <w:szCs w:val="20"/>
          </w:rPr>
        </w:r>
        <w:r w:rsidRPr="005F7FED">
          <w:rPr>
            <w:rFonts w:cs="Arial"/>
            <w:noProof/>
            <w:webHidden/>
            <w:szCs w:val="20"/>
          </w:rPr>
          <w:fldChar w:fldCharType="separate"/>
        </w:r>
        <w:r w:rsidRPr="005F7FED">
          <w:rPr>
            <w:rFonts w:cs="Arial"/>
            <w:noProof/>
            <w:webHidden/>
            <w:szCs w:val="20"/>
          </w:rPr>
          <w:t>3</w:t>
        </w:r>
        <w:r w:rsidRPr="005F7FED">
          <w:rPr>
            <w:rFonts w:cs="Arial"/>
            <w:noProof/>
            <w:webHidden/>
            <w:szCs w:val="20"/>
          </w:rPr>
          <w:fldChar w:fldCharType="end"/>
        </w:r>
      </w:hyperlink>
    </w:p>
    <w:p w14:paraId="128DEB8E" w14:textId="77777777"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33" w:history="1">
        <w:r w:rsidR="003B0248" w:rsidRPr="005F7FED">
          <w:rPr>
            <w:rStyle w:val="Hyperlink"/>
            <w:rFonts w:cs="Arial"/>
            <w:noProof/>
            <w:color w:val="auto"/>
            <w:szCs w:val="20"/>
          </w:rPr>
          <w:t>2. Legislation and statutory guidance</w:t>
        </w:r>
        <w:r w:rsidR="003B0248" w:rsidRPr="005F7FED">
          <w:rPr>
            <w:rFonts w:cs="Arial"/>
            <w:noProof/>
            <w:webHidden/>
            <w:szCs w:val="20"/>
          </w:rPr>
          <w:tab/>
        </w:r>
        <w:r w:rsidR="003B0248" w:rsidRPr="005F7FED">
          <w:rPr>
            <w:rFonts w:cs="Arial"/>
            <w:noProof/>
            <w:webHidden/>
            <w:szCs w:val="20"/>
          </w:rPr>
          <w:fldChar w:fldCharType="begin"/>
        </w:r>
        <w:r w:rsidR="003B0248" w:rsidRPr="005F7FED">
          <w:rPr>
            <w:rFonts w:cs="Arial"/>
            <w:noProof/>
            <w:webHidden/>
            <w:szCs w:val="20"/>
          </w:rPr>
          <w:instrText xml:space="preserve"> PAGEREF _Toc87533033 \h </w:instrText>
        </w:r>
        <w:r w:rsidR="003B0248" w:rsidRPr="005F7FED">
          <w:rPr>
            <w:rFonts w:cs="Arial"/>
            <w:noProof/>
            <w:webHidden/>
            <w:szCs w:val="20"/>
          </w:rPr>
        </w:r>
        <w:r w:rsidR="003B0248" w:rsidRPr="005F7FED">
          <w:rPr>
            <w:rFonts w:cs="Arial"/>
            <w:noProof/>
            <w:webHidden/>
            <w:szCs w:val="20"/>
          </w:rPr>
          <w:fldChar w:fldCharType="separate"/>
        </w:r>
        <w:r w:rsidR="003B0248" w:rsidRPr="005F7FED">
          <w:rPr>
            <w:rFonts w:cs="Arial"/>
            <w:noProof/>
            <w:webHidden/>
            <w:szCs w:val="20"/>
          </w:rPr>
          <w:t>3</w:t>
        </w:r>
        <w:r w:rsidR="003B0248" w:rsidRPr="005F7FED">
          <w:rPr>
            <w:rFonts w:cs="Arial"/>
            <w:noProof/>
            <w:webHidden/>
            <w:szCs w:val="20"/>
          </w:rPr>
          <w:fldChar w:fldCharType="end"/>
        </w:r>
      </w:hyperlink>
    </w:p>
    <w:p w14:paraId="69925B8F" w14:textId="77777777"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34" w:history="1">
        <w:r w:rsidR="003B0248" w:rsidRPr="005F7FED">
          <w:rPr>
            <w:rStyle w:val="Hyperlink"/>
            <w:rFonts w:cs="Arial"/>
            <w:noProof/>
            <w:color w:val="auto"/>
            <w:szCs w:val="20"/>
          </w:rPr>
          <w:t>3. Definition</w:t>
        </w:r>
        <w:r w:rsidR="003B0248" w:rsidRPr="005F7FED">
          <w:rPr>
            <w:rFonts w:cs="Arial"/>
            <w:noProof/>
            <w:webHidden/>
            <w:szCs w:val="20"/>
          </w:rPr>
          <w:tab/>
        </w:r>
        <w:r w:rsidR="003B0248" w:rsidRPr="005F7FED">
          <w:rPr>
            <w:rFonts w:cs="Arial"/>
            <w:noProof/>
            <w:webHidden/>
            <w:szCs w:val="20"/>
          </w:rPr>
          <w:fldChar w:fldCharType="begin"/>
        </w:r>
        <w:r w:rsidR="003B0248" w:rsidRPr="005F7FED">
          <w:rPr>
            <w:rFonts w:cs="Arial"/>
            <w:noProof/>
            <w:webHidden/>
            <w:szCs w:val="20"/>
          </w:rPr>
          <w:instrText xml:space="preserve"> PAGEREF _Toc87533034 \h </w:instrText>
        </w:r>
        <w:r w:rsidR="003B0248" w:rsidRPr="005F7FED">
          <w:rPr>
            <w:rFonts w:cs="Arial"/>
            <w:noProof/>
            <w:webHidden/>
            <w:szCs w:val="20"/>
          </w:rPr>
        </w:r>
        <w:r w:rsidR="003B0248" w:rsidRPr="005F7FED">
          <w:rPr>
            <w:rFonts w:cs="Arial"/>
            <w:noProof/>
            <w:webHidden/>
            <w:szCs w:val="20"/>
          </w:rPr>
          <w:fldChar w:fldCharType="separate"/>
        </w:r>
        <w:r w:rsidR="003B0248" w:rsidRPr="005F7FED">
          <w:rPr>
            <w:rFonts w:cs="Arial"/>
            <w:noProof/>
            <w:webHidden/>
            <w:szCs w:val="20"/>
          </w:rPr>
          <w:t>3</w:t>
        </w:r>
        <w:r w:rsidR="003B0248" w:rsidRPr="005F7FED">
          <w:rPr>
            <w:rFonts w:cs="Arial"/>
            <w:noProof/>
            <w:webHidden/>
            <w:szCs w:val="20"/>
          </w:rPr>
          <w:fldChar w:fldCharType="end"/>
        </w:r>
      </w:hyperlink>
    </w:p>
    <w:p w14:paraId="2ECF66E6" w14:textId="38C95E30"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35" w:history="1">
        <w:r w:rsidR="003B0248" w:rsidRPr="005F7FED">
          <w:rPr>
            <w:rStyle w:val="Hyperlink"/>
            <w:rFonts w:cs="Arial"/>
            <w:noProof/>
            <w:color w:val="auto"/>
            <w:szCs w:val="20"/>
          </w:rPr>
          <w:t>4. The decision to exclude</w:t>
        </w:r>
        <w:r w:rsidR="003B0248" w:rsidRPr="005F7FED">
          <w:rPr>
            <w:rFonts w:cs="Arial"/>
            <w:noProof/>
            <w:webHidden/>
            <w:szCs w:val="20"/>
          </w:rPr>
          <w:tab/>
        </w:r>
        <w:r w:rsidR="00737A24">
          <w:rPr>
            <w:rFonts w:cs="Arial"/>
            <w:noProof/>
            <w:webHidden/>
            <w:szCs w:val="20"/>
          </w:rPr>
          <w:t>3-4</w:t>
        </w:r>
      </w:hyperlink>
    </w:p>
    <w:p w14:paraId="65AB593F" w14:textId="2C49776A"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36" w:history="1">
        <w:r w:rsidR="003B0248" w:rsidRPr="005F7FED">
          <w:rPr>
            <w:rStyle w:val="Hyperlink"/>
            <w:rFonts w:cs="Arial"/>
            <w:noProof/>
            <w:color w:val="auto"/>
            <w:szCs w:val="20"/>
          </w:rPr>
          <w:t>5. Assessment process</w:t>
        </w:r>
        <w:r w:rsidR="003B0248" w:rsidRPr="005F7FED">
          <w:rPr>
            <w:rFonts w:cs="Arial"/>
            <w:noProof/>
            <w:webHidden/>
            <w:szCs w:val="20"/>
          </w:rPr>
          <w:tab/>
        </w:r>
        <w:r w:rsidR="003B0248" w:rsidRPr="005F7FED">
          <w:rPr>
            <w:rFonts w:cs="Arial"/>
            <w:noProof/>
            <w:webHidden/>
            <w:szCs w:val="20"/>
          </w:rPr>
          <w:fldChar w:fldCharType="begin"/>
        </w:r>
        <w:r w:rsidR="003B0248" w:rsidRPr="005F7FED">
          <w:rPr>
            <w:rFonts w:cs="Arial"/>
            <w:noProof/>
            <w:webHidden/>
            <w:szCs w:val="20"/>
          </w:rPr>
          <w:instrText xml:space="preserve"> PAGEREF _Toc87533036 \h </w:instrText>
        </w:r>
        <w:r w:rsidR="003B0248" w:rsidRPr="005F7FED">
          <w:rPr>
            <w:rFonts w:cs="Arial"/>
            <w:noProof/>
            <w:webHidden/>
            <w:szCs w:val="20"/>
          </w:rPr>
        </w:r>
        <w:r w:rsidR="003B0248" w:rsidRPr="005F7FED">
          <w:rPr>
            <w:rFonts w:cs="Arial"/>
            <w:noProof/>
            <w:webHidden/>
            <w:szCs w:val="20"/>
          </w:rPr>
          <w:fldChar w:fldCharType="separate"/>
        </w:r>
        <w:r w:rsidR="003B0248" w:rsidRPr="005F7FED">
          <w:rPr>
            <w:rFonts w:cs="Arial"/>
            <w:noProof/>
            <w:webHidden/>
            <w:szCs w:val="20"/>
          </w:rPr>
          <w:t>4</w:t>
        </w:r>
        <w:r w:rsidR="003B0248" w:rsidRPr="005F7FED">
          <w:rPr>
            <w:rFonts w:cs="Arial"/>
            <w:noProof/>
            <w:webHidden/>
            <w:szCs w:val="20"/>
          </w:rPr>
          <w:fldChar w:fldCharType="end"/>
        </w:r>
      </w:hyperlink>
      <w:r w:rsidR="00737A24">
        <w:rPr>
          <w:rFonts w:cs="Arial"/>
          <w:noProof/>
          <w:szCs w:val="20"/>
        </w:rPr>
        <w:t>-</w:t>
      </w:r>
      <w:r w:rsidR="00E924C5">
        <w:rPr>
          <w:rFonts w:cs="Arial"/>
          <w:noProof/>
          <w:szCs w:val="20"/>
        </w:rPr>
        <w:t>5</w:t>
      </w:r>
    </w:p>
    <w:p w14:paraId="798BC1F7" w14:textId="09FD0739"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37" w:history="1">
        <w:r w:rsidR="003B0248" w:rsidRPr="005F7FED">
          <w:rPr>
            <w:rStyle w:val="Hyperlink"/>
            <w:rFonts w:cs="Arial"/>
            <w:noProof/>
            <w:color w:val="auto"/>
            <w:szCs w:val="20"/>
          </w:rPr>
          <w:t>6. Statutory duties</w:t>
        </w:r>
        <w:r w:rsidR="003B0248" w:rsidRPr="005F7FED">
          <w:rPr>
            <w:rFonts w:cs="Arial"/>
            <w:noProof/>
            <w:webHidden/>
            <w:szCs w:val="20"/>
          </w:rPr>
          <w:tab/>
        </w:r>
        <w:r w:rsidR="00E924C5">
          <w:rPr>
            <w:rFonts w:cs="Arial"/>
            <w:noProof/>
            <w:webHidden/>
            <w:szCs w:val="20"/>
          </w:rPr>
          <w:t>5-</w:t>
        </w:r>
        <w:r w:rsidR="003B0248" w:rsidRPr="005F7FED">
          <w:rPr>
            <w:rFonts w:cs="Arial"/>
            <w:noProof/>
            <w:webHidden/>
            <w:szCs w:val="20"/>
          </w:rPr>
          <w:fldChar w:fldCharType="begin"/>
        </w:r>
        <w:r w:rsidR="003B0248" w:rsidRPr="005F7FED">
          <w:rPr>
            <w:rFonts w:cs="Arial"/>
            <w:noProof/>
            <w:webHidden/>
            <w:szCs w:val="20"/>
          </w:rPr>
          <w:instrText xml:space="preserve"> PAGEREF _Toc87533037 \h </w:instrText>
        </w:r>
        <w:r w:rsidR="003B0248" w:rsidRPr="005F7FED">
          <w:rPr>
            <w:rFonts w:cs="Arial"/>
            <w:noProof/>
            <w:webHidden/>
            <w:szCs w:val="20"/>
          </w:rPr>
        </w:r>
        <w:r w:rsidR="003B0248" w:rsidRPr="005F7FED">
          <w:rPr>
            <w:rFonts w:cs="Arial"/>
            <w:noProof/>
            <w:webHidden/>
            <w:szCs w:val="20"/>
          </w:rPr>
          <w:fldChar w:fldCharType="separate"/>
        </w:r>
        <w:r w:rsidR="003B0248" w:rsidRPr="005F7FED">
          <w:rPr>
            <w:rFonts w:cs="Arial"/>
            <w:noProof/>
            <w:webHidden/>
            <w:szCs w:val="20"/>
          </w:rPr>
          <w:t>6</w:t>
        </w:r>
        <w:r w:rsidR="003B0248" w:rsidRPr="005F7FED">
          <w:rPr>
            <w:rFonts w:cs="Arial"/>
            <w:noProof/>
            <w:webHidden/>
            <w:szCs w:val="20"/>
          </w:rPr>
          <w:fldChar w:fldCharType="end"/>
        </w:r>
      </w:hyperlink>
    </w:p>
    <w:p w14:paraId="019D1925" w14:textId="7AEB5E2E"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38" w:history="1">
        <w:r w:rsidR="003B0248" w:rsidRPr="005F7FED">
          <w:rPr>
            <w:rStyle w:val="Hyperlink"/>
            <w:rFonts w:cs="Arial"/>
            <w:noProof/>
            <w:color w:val="auto"/>
            <w:szCs w:val="20"/>
          </w:rPr>
          <w:t>7. Returning from a fixed-term exclusion</w:t>
        </w:r>
        <w:r w:rsidR="003B0248" w:rsidRPr="005F7FED">
          <w:rPr>
            <w:rFonts w:cs="Arial"/>
            <w:noProof/>
            <w:webHidden/>
            <w:szCs w:val="20"/>
          </w:rPr>
          <w:tab/>
        </w:r>
        <w:r w:rsidR="00E924C5">
          <w:rPr>
            <w:rFonts w:cs="Arial"/>
            <w:noProof/>
            <w:webHidden/>
            <w:szCs w:val="20"/>
          </w:rPr>
          <w:t>6-</w:t>
        </w:r>
        <w:r w:rsidR="003B0248" w:rsidRPr="005F7FED">
          <w:rPr>
            <w:rFonts w:cs="Arial"/>
            <w:noProof/>
            <w:webHidden/>
            <w:szCs w:val="20"/>
          </w:rPr>
          <w:fldChar w:fldCharType="begin"/>
        </w:r>
        <w:r w:rsidR="003B0248" w:rsidRPr="005F7FED">
          <w:rPr>
            <w:rFonts w:cs="Arial"/>
            <w:noProof/>
            <w:webHidden/>
            <w:szCs w:val="20"/>
          </w:rPr>
          <w:instrText xml:space="preserve"> PAGEREF _Toc87533038 \h </w:instrText>
        </w:r>
        <w:r w:rsidR="003B0248" w:rsidRPr="005F7FED">
          <w:rPr>
            <w:rFonts w:cs="Arial"/>
            <w:noProof/>
            <w:webHidden/>
            <w:szCs w:val="20"/>
          </w:rPr>
        </w:r>
        <w:r w:rsidR="003B0248" w:rsidRPr="005F7FED">
          <w:rPr>
            <w:rFonts w:cs="Arial"/>
            <w:noProof/>
            <w:webHidden/>
            <w:szCs w:val="20"/>
          </w:rPr>
          <w:fldChar w:fldCharType="separate"/>
        </w:r>
        <w:r w:rsidR="003B0248" w:rsidRPr="005F7FED">
          <w:rPr>
            <w:rFonts w:cs="Arial"/>
            <w:noProof/>
            <w:webHidden/>
            <w:szCs w:val="20"/>
          </w:rPr>
          <w:t>7</w:t>
        </w:r>
        <w:r w:rsidR="003B0248" w:rsidRPr="005F7FED">
          <w:rPr>
            <w:rFonts w:cs="Arial"/>
            <w:noProof/>
            <w:webHidden/>
            <w:szCs w:val="20"/>
          </w:rPr>
          <w:fldChar w:fldCharType="end"/>
        </w:r>
      </w:hyperlink>
    </w:p>
    <w:p w14:paraId="02DA5006" w14:textId="0BB7C74B"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41" w:history="1">
        <w:r w:rsidR="003B0248" w:rsidRPr="005F7FED">
          <w:rPr>
            <w:rStyle w:val="Hyperlink"/>
            <w:rFonts w:cs="Arial"/>
            <w:noProof/>
            <w:color w:val="auto"/>
            <w:szCs w:val="20"/>
          </w:rPr>
          <w:t>8. Monitoring arrangements</w:t>
        </w:r>
        <w:r w:rsidR="003B0248" w:rsidRPr="005F7FED">
          <w:rPr>
            <w:rFonts w:cs="Arial"/>
            <w:noProof/>
            <w:webHidden/>
            <w:szCs w:val="20"/>
          </w:rPr>
          <w:tab/>
        </w:r>
        <w:r w:rsidR="00EF4F66">
          <w:rPr>
            <w:rFonts w:cs="Arial"/>
            <w:noProof/>
            <w:webHidden/>
            <w:szCs w:val="20"/>
          </w:rPr>
          <w:t>7</w:t>
        </w:r>
      </w:hyperlink>
    </w:p>
    <w:p w14:paraId="0C3CB6C6" w14:textId="5C32288C" w:rsidR="00A04B6A" w:rsidRPr="005F7FED" w:rsidRDefault="00DF0E9D" w:rsidP="005F7FED">
      <w:pPr>
        <w:pStyle w:val="TOC1"/>
        <w:tabs>
          <w:tab w:val="right" w:leader="dot" w:pos="9736"/>
        </w:tabs>
        <w:spacing w:after="0" w:line="360" w:lineRule="auto"/>
        <w:rPr>
          <w:rFonts w:eastAsia="Times New Roman" w:cs="Arial"/>
          <w:noProof/>
          <w:szCs w:val="20"/>
          <w:lang w:val="en-GB" w:eastAsia="en-GB"/>
        </w:rPr>
      </w:pPr>
      <w:hyperlink w:anchor="_Toc87533042" w:history="1">
        <w:r w:rsidR="003B0248" w:rsidRPr="005F7FED">
          <w:rPr>
            <w:rStyle w:val="Hyperlink"/>
            <w:rFonts w:cs="Arial"/>
            <w:noProof/>
            <w:color w:val="auto"/>
            <w:szCs w:val="20"/>
          </w:rPr>
          <w:t>9. Links with other policies</w:t>
        </w:r>
        <w:r w:rsidR="003B0248" w:rsidRPr="005F7FED">
          <w:rPr>
            <w:rFonts w:cs="Arial"/>
            <w:noProof/>
            <w:webHidden/>
            <w:szCs w:val="20"/>
          </w:rPr>
          <w:tab/>
        </w:r>
        <w:r w:rsidR="00EF4F66">
          <w:rPr>
            <w:rFonts w:cs="Arial"/>
            <w:noProof/>
            <w:webHidden/>
            <w:szCs w:val="20"/>
          </w:rPr>
          <w:t>7</w:t>
        </w:r>
      </w:hyperlink>
    </w:p>
    <w:p w14:paraId="103C7893" w14:textId="77777777" w:rsidR="00A04B6A" w:rsidRPr="005F7FED" w:rsidRDefault="003B0248" w:rsidP="005F7FED">
      <w:pPr>
        <w:spacing w:after="0" w:line="360" w:lineRule="auto"/>
        <w:rPr>
          <w:rFonts w:ascii="Arial" w:hAnsi="Arial" w:cs="Arial"/>
          <w:noProof/>
          <w:sz w:val="20"/>
          <w:szCs w:val="20"/>
        </w:rPr>
      </w:pPr>
      <w:r w:rsidRPr="005F7FED">
        <w:rPr>
          <w:rFonts w:ascii="Arial" w:hAnsi="Arial" w:cs="Arial"/>
          <w:noProof/>
          <w:sz w:val="20"/>
          <w:szCs w:val="20"/>
        </w:rPr>
        <w:fldChar w:fldCharType="end"/>
      </w:r>
    </w:p>
    <w:p w14:paraId="005E71DE" w14:textId="77777777" w:rsidR="005F7FED" w:rsidRDefault="005F7FED">
      <w:pPr>
        <w:pStyle w:val="Heading1"/>
        <w:spacing w:before="0" w:line="276" w:lineRule="auto"/>
        <w:rPr>
          <w:rFonts w:ascii="Arial" w:hAnsi="Arial" w:cs="Arial"/>
          <w:b/>
          <w:color w:val="auto"/>
          <w:sz w:val="24"/>
          <w:szCs w:val="24"/>
        </w:rPr>
        <w:sectPr w:rsidR="005F7FED" w:rsidSect="005F7FED">
          <w:footerReference w:type="default" r:id="rId11"/>
          <w:footerReference w:type="first" r:id="rId12"/>
          <w:pgSz w:w="11906" w:h="16838"/>
          <w:pgMar w:top="1701" w:right="1133" w:bottom="1276" w:left="1134" w:header="709" w:footer="709" w:gutter="0"/>
          <w:cols w:space="708"/>
          <w:titlePg/>
          <w:docGrid w:linePitch="360"/>
        </w:sectPr>
      </w:pPr>
      <w:bookmarkStart w:id="0" w:name="_Toc87533032"/>
    </w:p>
    <w:p w14:paraId="60AA2E72" w14:textId="66D5A8AB" w:rsidR="00A04B6A" w:rsidRPr="005F7FED" w:rsidRDefault="003B0248" w:rsidP="005F7FED">
      <w:pPr>
        <w:pStyle w:val="Heading1"/>
        <w:spacing w:before="0" w:line="360" w:lineRule="auto"/>
        <w:rPr>
          <w:rFonts w:ascii="Arial" w:hAnsi="Arial" w:cs="Arial"/>
          <w:b/>
          <w:color w:val="000000" w:themeColor="text1"/>
          <w:sz w:val="20"/>
          <w:szCs w:val="20"/>
        </w:rPr>
      </w:pPr>
      <w:r w:rsidRPr="005F7FED">
        <w:rPr>
          <w:rFonts w:ascii="Arial" w:hAnsi="Arial" w:cs="Arial"/>
          <w:b/>
          <w:color w:val="000000" w:themeColor="text1"/>
          <w:sz w:val="20"/>
          <w:szCs w:val="20"/>
        </w:rPr>
        <w:lastRenderedPageBreak/>
        <w:t>1. Aims</w:t>
      </w:r>
      <w:bookmarkEnd w:id="0"/>
    </w:p>
    <w:p w14:paraId="7BC4B3B6"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Our school aims to ensure that:</w:t>
      </w:r>
    </w:p>
    <w:p w14:paraId="442F4753" w14:textId="77777777" w:rsidR="00A04B6A" w:rsidRPr="005F7FED" w:rsidRDefault="003B0248" w:rsidP="005F7FED">
      <w:pPr>
        <w:pStyle w:val="4Bulletedcopyblue"/>
        <w:numPr>
          <w:ilvl w:val="0"/>
          <w:numId w:val="16"/>
        </w:numPr>
        <w:spacing w:after="0" w:line="360" w:lineRule="auto"/>
        <w:rPr>
          <w:color w:val="000000" w:themeColor="text1"/>
          <w:lang w:val="en-GB" w:eastAsia="en-GB"/>
        </w:rPr>
      </w:pPr>
      <w:r w:rsidRPr="005F7FED">
        <w:rPr>
          <w:color w:val="000000" w:themeColor="text1"/>
          <w:lang w:val="en-GB" w:eastAsia="en-GB"/>
        </w:rPr>
        <w:t xml:space="preserve">The suspensions (formerly known as exclusions) process is applied fairly and </w:t>
      </w:r>
      <w:proofErr w:type="gramStart"/>
      <w:r w:rsidRPr="005F7FED">
        <w:rPr>
          <w:color w:val="000000" w:themeColor="text1"/>
          <w:lang w:val="en-GB" w:eastAsia="en-GB"/>
        </w:rPr>
        <w:t>consistently;</w:t>
      </w:r>
      <w:proofErr w:type="gramEnd"/>
    </w:p>
    <w:p w14:paraId="64D01EE1" w14:textId="77777777" w:rsidR="00A04B6A" w:rsidRPr="005F7FED" w:rsidRDefault="003B0248" w:rsidP="005F7FED">
      <w:pPr>
        <w:pStyle w:val="4Bulletedcopyblue"/>
        <w:numPr>
          <w:ilvl w:val="0"/>
          <w:numId w:val="16"/>
        </w:numPr>
        <w:spacing w:after="0" w:line="360" w:lineRule="auto"/>
        <w:rPr>
          <w:color w:val="000000" w:themeColor="text1"/>
          <w:lang w:val="en-GB" w:eastAsia="en-GB"/>
        </w:rPr>
      </w:pPr>
      <w:r w:rsidRPr="005F7FED">
        <w:rPr>
          <w:color w:val="000000" w:themeColor="text1"/>
          <w:lang w:val="en-GB" w:eastAsia="en-GB"/>
        </w:rPr>
        <w:t xml:space="preserve">The suspensions process is understood by governors, staff, parents, and </w:t>
      </w:r>
      <w:proofErr w:type="gramStart"/>
      <w:r w:rsidRPr="005F7FED">
        <w:rPr>
          <w:color w:val="000000" w:themeColor="text1"/>
          <w:lang w:val="en-GB" w:eastAsia="en-GB"/>
        </w:rPr>
        <w:t>students;</w:t>
      </w:r>
      <w:proofErr w:type="gramEnd"/>
    </w:p>
    <w:p w14:paraId="1F3D94E0" w14:textId="77777777" w:rsidR="00A04B6A" w:rsidRPr="005F7FED" w:rsidRDefault="003B0248" w:rsidP="005F7FED">
      <w:pPr>
        <w:pStyle w:val="4Bulletedcopyblue"/>
        <w:numPr>
          <w:ilvl w:val="0"/>
          <w:numId w:val="16"/>
        </w:numPr>
        <w:spacing w:after="0" w:line="360" w:lineRule="auto"/>
        <w:rPr>
          <w:color w:val="000000" w:themeColor="text1"/>
          <w:lang w:val="en-GB" w:eastAsia="en-GB"/>
        </w:rPr>
      </w:pPr>
      <w:r w:rsidRPr="005F7FED">
        <w:rPr>
          <w:color w:val="000000" w:themeColor="text1"/>
          <w:lang w:val="en-GB" w:eastAsia="en-GB"/>
        </w:rPr>
        <w:t xml:space="preserve">Students in school are safe and </w:t>
      </w:r>
      <w:proofErr w:type="gramStart"/>
      <w:r w:rsidRPr="005F7FED">
        <w:rPr>
          <w:color w:val="000000" w:themeColor="text1"/>
          <w:lang w:val="en-GB" w:eastAsia="en-GB"/>
        </w:rPr>
        <w:t>happy;</w:t>
      </w:r>
      <w:proofErr w:type="gramEnd"/>
    </w:p>
    <w:p w14:paraId="188527E0" w14:textId="77777777" w:rsidR="00A04B6A" w:rsidRPr="005F7FED" w:rsidRDefault="003B0248" w:rsidP="005F7FED">
      <w:pPr>
        <w:pStyle w:val="4Bulletedcopyblue"/>
        <w:numPr>
          <w:ilvl w:val="0"/>
          <w:numId w:val="16"/>
        </w:numPr>
        <w:spacing w:after="0" w:line="360" w:lineRule="auto"/>
        <w:rPr>
          <w:color w:val="000000" w:themeColor="text1"/>
          <w:lang w:val="en-GB" w:eastAsia="en-GB"/>
        </w:rPr>
      </w:pPr>
      <w:r w:rsidRPr="005F7FED">
        <w:rPr>
          <w:color w:val="000000" w:themeColor="text1"/>
          <w:lang w:val="en-GB" w:eastAsia="en-GB"/>
        </w:rPr>
        <w:t xml:space="preserve">Students do not become NEET (not in education, </w:t>
      </w:r>
      <w:proofErr w:type="gramStart"/>
      <w:r w:rsidRPr="005F7FED">
        <w:rPr>
          <w:color w:val="000000" w:themeColor="text1"/>
          <w:lang w:val="en-GB" w:eastAsia="en-GB"/>
        </w:rPr>
        <w:t>employment</w:t>
      </w:r>
      <w:proofErr w:type="gramEnd"/>
      <w:r w:rsidRPr="005F7FED">
        <w:rPr>
          <w:color w:val="000000" w:themeColor="text1"/>
          <w:lang w:val="en-GB" w:eastAsia="en-GB"/>
        </w:rPr>
        <w:t xml:space="preserve"> or training).</w:t>
      </w:r>
    </w:p>
    <w:p w14:paraId="47576F53" w14:textId="77777777" w:rsidR="00A04B6A" w:rsidRPr="005F7FED" w:rsidRDefault="00A04B6A" w:rsidP="005F7FED">
      <w:pPr>
        <w:pStyle w:val="Heading1"/>
        <w:spacing w:before="0" w:line="360" w:lineRule="auto"/>
        <w:rPr>
          <w:rFonts w:ascii="Arial" w:hAnsi="Arial" w:cs="Arial"/>
          <w:color w:val="000000" w:themeColor="text1"/>
          <w:sz w:val="20"/>
          <w:szCs w:val="20"/>
        </w:rPr>
      </w:pPr>
      <w:bookmarkStart w:id="1" w:name="_Toc87532558"/>
      <w:bookmarkStart w:id="2" w:name="_Toc87533033"/>
    </w:p>
    <w:p w14:paraId="18C86BCE" w14:textId="01355814" w:rsidR="00A04B6A" w:rsidRPr="005F7FED" w:rsidRDefault="003B0248" w:rsidP="005F7FED">
      <w:pPr>
        <w:pStyle w:val="Heading1"/>
        <w:spacing w:before="0" w:line="360" w:lineRule="auto"/>
        <w:rPr>
          <w:rFonts w:ascii="Arial" w:hAnsi="Arial" w:cs="Arial"/>
          <w:b/>
          <w:color w:val="000000" w:themeColor="text1"/>
          <w:sz w:val="20"/>
          <w:szCs w:val="20"/>
        </w:rPr>
      </w:pPr>
      <w:r w:rsidRPr="005F7FED">
        <w:rPr>
          <w:rFonts w:ascii="Arial" w:hAnsi="Arial" w:cs="Arial"/>
          <w:b/>
          <w:color w:val="000000" w:themeColor="text1"/>
          <w:sz w:val="20"/>
          <w:szCs w:val="20"/>
        </w:rPr>
        <w:t>2. Legislation and statutory guidance</w:t>
      </w:r>
      <w:bookmarkEnd w:id="1"/>
      <w:bookmarkEnd w:id="2"/>
    </w:p>
    <w:p w14:paraId="5BDC8970"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This policy is based on statutory guidance from the Department for Education: </w:t>
      </w:r>
      <w:hyperlink r:id="rId13" w:history="1">
        <w:r w:rsidRPr="005F7FED">
          <w:rPr>
            <w:rFonts w:ascii="Arial" w:hAnsi="Arial" w:cs="Arial"/>
            <w:color w:val="000000" w:themeColor="text1"/>
            <w:sz w:val="20"/>
            <w:szCs w:val="20"/>
            <w:u w:val="single"/>
          </w:rPr>
          <w:t xml:space="preserve">Exclusion from maintained schools, </w:t>
        </w:r>
        <w:proofErr w:type="gramStart"/>
        <w:r w:rsidRPr="005F7FED">
          <w:rPr>
            <w:rFonts w:ascii="Arial" w:hAnsi="Arial" w:cs="Arial"/>
            <w:color w:val="000000" w:themeColor="text1"/>
            <w:sz w:val="20"/>
            <w:szCs w:val="20"/>
            <w:u w:val="single"/>
          </w:rPr>
          <w:t>academies</w:t>
        </w:r>
        <w:proofErr w:type="gramEnd"/>
        <w:r w:rsidRPr="005F7FED">
          <w:rPr>
            <w:rFonts w:ascii="Arial" w:hAnsi="Arial" w:cs="Arial"/>
            <w:color w:val="000000" w:themeColor="text1"/>
            <w:sz w:val="20"/>
            <w:szCs w:val="20"/>
            <w:u w:val="single"/>
          </w:rPr>
          <w:t xml:space="preserve"> and pupil referral units (PRUs) in England</w:t>
        </w:r>
      </w:hyperlink>
      <w:r w:rsidRPr="005F7FED">
        <w:rPr>
          <w:rFonts w:ascii="Arial" w:hAnsi="Arial" w:cs="Arial"/>
          <w:color w:val="000000" w:themeColor="text1"/>
          <w:sz w:val="20"/>
          <w:szCs w:val="20"/>
        </w:rPr>
        <w:t xml:space="preserve">. </w:t>
      </w:r>
    </w:p>
    <w:p w14:paraId="36918076" w14:textId="77777777" w:rsidR="00A04B6A" w:rsidRPr="005F7FED" w:rsidRDefault="00A04B6A" w:rsidP="005F7FED">
      <w:pPr>
        <w:spacing w:after="0" w:line="360" w:lineRule="auto"/>
        <w:rPr>
          <w:rFonts w:ascii="Arial" w:hAnsi="Arial" w:cs="Arial"/>
          <w:color w:val="000000" w:themeColor="text1"/>
          <w:sz w:val="20"/>
          <w:szCs w:val="20"/>
        </w:rPr>
      </w:pPr>
    </w:p>
    <w:p w14:paraId="06F9F4B4"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It is based on the following legislation, which outline schools’ powers to exclude students:</w:t>
      </w:r>
    </w:p>
    <w:p w14:paraId="3E2D5BF5" w14:textId="77777777" w:rsidR="00A04B6A" w:rsidRPr="005F7FED" w:rsidRDefault="003B0248" w:rsidP="005F7FED">
      <w:pPr>
        <w:pStyle w:val="4Bulletedcopyblue"/>
        <w:numPr>
          <w:ilvl w:val="0"/>
          <w:numId w:val="17"/>
        </w:numPr>
        <w:spacing w:after="0" w:line="360" w:lineRule="auto"/>
        <w:ind w:left="284" w:hanging="142"/>
        <w:rPr>
          <w:color w:val="000000" w:themeColor="text1"/>
          <w:lang w:val="en-GB" w:eastAsia="en-GB"/>
        </w:rPr>
      </w:pPr>
      <w:r w:rsidRPr="005F7FED">
        <w:rPr>
          <w:color w:val="000000" w:themeColor="text1"/>
          <w:lang w:val="en-GB" w:eastAsia="en-GB"/>
        </w:rPr>
        <w:t xml:space="preserve">Section 52 of the </w:t>
      </w:r>
      <w:hyperlink r:id="rId14" w:history="1">
        <w:r w:rsidRPr="005F7FED">
          <w:rPr>
            <w:color w:val="000000" w:themeColor="text1"/>
            <w:lang w:val="en-GB" w:eastAsia="en-GB"/>
          </w:rPr>
          <w:t>Education Act 2002</w:t>
        </w:r>
      </w:hyperlink>
      <w:r w:rsidRPr="005F7FED">
        <w:rPr>
          <w:color w:val="000000" w:themeColor="text1"/>
          <w:lang w:val="en-GB" w:eastAsia="en-GB"/>
        </w:rPr>
        <w:t xml:space="preserve">, as amended by the </w:t>
      </w:r>
      <w:hyperlink r:id="rId15" w:history="1">
        <w:r w:rsidRPr="005F7FED">
          <w:rPr>
            <w:color w:val="000000" w:themeColor="text1"/>
            <w:lang w:val="en-GB" w:eastAsia="en-GB"/>
          </w:rPr>
          <w:t>Education Act 2011</w:t>
        </w:r>
      </w:hyperlink>
      <w:r w:rsidRPr="005F7FED">
        <w:rPr>
          <w:color w:val="000000" w:themeColor="text1"/>
          <w:lang w:val="en-GB" w:eastAsia="en-GB"/>
        </w:rPr>
        <w:t>.</w:t>
      </w:r>
    </w:p>
    <w:p w14:paraId="6D2D932D" w14:textId="77777777" w:rsidR="00A04B6A" w:rsidRPr="005F7FED" w:rsidRDefault="00DF0E9D" w:rsidP="005F7FED">
      <w:pPr>
        <w:pStyle w:val="4Bulletedcopyblue"/>
        <w:numPr>
          <w:ilvl w:val="0"/>
          <w:numId w:val="17"/>
        </w:numPr>
        <w:spacing w:after="0" w:line="360" w:lineRule="auto"/>
        <w:ind w:left="284" w:hanging="142"/>
        <w:rPr>
          <w:color w:val="000000" w:themeColor="text1"/>
          <w:lang w:val="en-GB" w:eastAsia="en-GB"/>
        </w:rPr>
      </w:pPr>
      <w:hyperlink r:id="rId16" w:history="1">
        <w:r w:rsidR="003B0248" w:rsidRPr="005F7FED">
          <w:rPr>
            <w:color w:val="000000" w:themeColor="text1"/>
            <w:lang w:val="en-GB" w:eastAsia="en-GB"/>
          </w:rPr>
          <w:t>The School Discipline (Pupil Exclusions and Reviews) (England) Regulations 2012</w:t>
        </w:r>
      </w:hyperlink>
      <w:r w:rsidR="003B0248" w:rsidRPr="005F7FED">
        <w:rPr>
          <w:color w:val="000000" w:themeColor="text1"/>
          <w:lang w:val="en-GB" w:eastAsia="en-GB"/>
        </w:rPr>
        <w:t>.</w:t>
      </w:r>
    </w:p>
    <w:p w14:paraId="08742900" w14:textId="77777777" w:rsidR="00A04B6A" w:rsidRPr="005F7FED" w:rsidRDefault="00A04B6A" w:rsidP="005F7FED">
      <w:pPr>
        <w:pStyle w:val="4Bulletedcopyblue"/>
        <w:numPr>
          <w:ilvl w:val="0"/>
          <w:numId w:val="0"/>
        </w:numPr>
        <w:spacing w:after="0" w:line="360" w:lineRule="auto"/>
        <w:ind w:left="340"/>
        <w:rPr>
          <w:color w:val="000000" w:themeColor="text1"/>
          <w:lang w:val="en-GB" w:eastAsia="en-GB"/>
        </w:rPr>
      </w:pPr>
    </w:p>
    <w:p w14:paraId="6B559E05" w14:textId="77777777" w:rsidR="00A04B6A" w:rsidRPr="005F7FED" w:rsidRDefault="003B0248" w:rsidP="005F7FED">
      <w:pPr>
        <w:pStyle w:val="4Bulletedcopyblue"/>
        <w:numPr>
          <w:ilvl w:val="0"/>
          <w:numId w:val="0"/>
        </w:numPr>
        <w:spacing w:after="0" w:line="360" w:lineRule="auto"/>
        <w:rPr>
          <w:color w:val="000000" w:themeColor="text1"/>
        </w:rPr>
      </w:pPr>
      <w:r w:rsidRPr="005F7FED">
        <w:rPr>
          <w:color w:val="000000" w:themeColor="text1"/>
        </w:rPr>
        <w:t>In addition, the policy is based on:</w:t>
      </w:r>
    </w:p>
    <w:p w14:paraId="4E9C086C" w14:textId="77777777" w:rsidR="00A04B6A" w:rsidRPr="005F7FED" w:rsidRDefault="003B0248" w:rsidP="005F7FED">
      <w:pPr>
        <w:pStyle w:val="4Bulletedcopyblue"/>
        <w:numPr>
          <w:ilvl w:val="0"/>
          <w:numId w:val="18"/>
        </w:numPr>
        <w:spacing w:after="0" w:line="360" w:lineRule="auto"/>
        <w:ind w:left="284" w:hanging="142"/>
        <w:rPr>
          <w:color w:val="000000" w:themeColor="text1"/>
          <w:lang w:val="en-GB" w:eastAsia="en-GB"/>
        </w:rPr>
      </w:pPr>
      <w:r w:rsidRPr="005F7FED">
        <w:rPr>
          <w:color w:val="000000" w:themeColor="text1"/>
          <w:lang w:val="en-GB" w:eastAsia="en-GB"/>
        </w:rPr>
        <w:t xml:space="preserve">Part 7, chapter 2 of the </w:t>
      </w:r>
      <w:hyperlink r:id="rId17" w:history="1">
        <w:r w:rsidRPr="005F7FED">
          <w:rPr>
            <w:color w:val="000000" w:themeColor="text1"/>
            <w:u w:val="single"/>
            <w:lang w:val="en-GB" w:eastAsia="en-GB"/>
          </w:rPr>
          <w:t>Education and Inspections Act 2006</w:t>
        </w:r>
      </w:hyperlink>
      <w:r w:rsidRPr="005F7FED">
        <w:rPr>
          <w:color w:val="000000" w:themeColor="text1"/>
          <w:lang w:val="en-GB" w:eastAsia="en-GB"/>
        </w:rPr>
        <w:t xml:space="preserve">, which looks at parental responsibility for excluded </w:t>
      </w:r>
      <w:proofErr w:type="gramStart"/>
      <w:r w:rsidRPr="005F7FED">
        <w:rPr>
          <w:color w:val="000000" w:themeColor="text1"/>
          <w:lang w:val="en-GB" w:eastAsia="en-GB"/>
        </w:rPr>
        <w:t>students;</w:t>
      </w:r>
      <w:proofErr w:type="gramEnd"/>
    </w:p>
    <w:p w14:paraId="52FBF292" w14:textId="77777777" w:rsidR="00A04B6A" w:rsidRPr="005F7FED" w:rsidRDefault="003B0248" w:rsidP="005F7FED">
      <w:pPr>
        <w:pStyle w:val="4Bulletedcopyblue"/>
        <w:numPr>
          <w:ilvl w:val="0"/>
          <w:numId w:val="18"/>
        </w:numPr>
        <w:spacing w:after="0" w:line="360" w:lineRule="auto"/>
        <w:ind w:left="284" w:hanging="142"/>
        <w:rPr>
          <w:color w:val="000000" w:themeColor="text1"/>
          <w:lang w:val="en-GB" w:eastAsia="en-GB"/>
        </w:rPr>
      </w:pPr>
      <w:r w:rsidRPr="005F7FED">
        <w:rPr>
          <w:color w:val="000000" w:themeColor="text1"/>
          <w:lang w:val="en-GB" w:eastAsia="en-GB"/>
        </w:rPr>
        <w:t xml:space="preserve">Section 579 of the </w:t>
      </w:r>
      <w:hyperlink r:id="rId18" w:history="1">
        <w:r w:rsidRPr="005F7FED">
          <w:rPr>
            <w:color w:val="000000" w:themeColor="text1"/>
            <w:u w:val="single"/>
            <w:lang w:val="en-GB" w:eastAsia="en-GB"/>
          </w:rPr>
          <w:t>Education Act 1996</w:t>
        </w:r>
      </w:hyperlink>
      <w:r w:rsidRPr="005F7FED">
        <w:rPr>
          <w:color w:val="000000" w:themeColor="text1"/>
          <w:lang w:val="en-GB" w:eastAsia="en-GB"/>
        </w:rPr>
        <w:t>, which defines ‘school day</w:t>
      </w:r>
      <w:proofErr w:type="gramStart"/>
      <w:r w:rsidRPr="005F7FED">
        <w:rPr>
          <w:color w:val="000000" w:themeColor="text1"/>
          <w:lang w:val="en-GB" w:eastAsia="en-GB"/>
        </w:rPr>
        <w:t>’;</w:t>
      </w:r>
      <w:proofErr w:type="gramEnd"/>
    </w:p>
    <w:p w14:paraId="2695B4FD" w14:textId="77777777" w:rsidR="00A04B6A" w:rsidRPr="005F7FED" w:rsidRDefault="003B0248" w:rsidP="005F7FED">
      <w:pPr>
        <w:pStyle w:val="4Bulletedcopyblue"/>
        <w:numPr>
          <w:ilvl w:val="0"/>
          <w:numId w:val="18"/>
        </w:numPr>
        <w:spacing w:after="0" w:line="360" w:lineRule="auto"/>
        <w:ind w:left="284" w:hanging="142"/>
        <w:rPr>
          <w:color w:val="000000" w:themeColor="text1"/>
          <w:lang w:val="en-GB" w:eastAsia="en-GB"/>
        </w:rPr>
      </w:pPr>
      <w:r w:rsidRPr="005F7FED">
        <w:rPr>
          <w:color w:val="000000" w:themeColor="text1"/>
          <w:lang w:val="en-GB" w:eastAsia="en-GB"/>
        </w:rPr>
        <w:t xml:space="preserve">The </w:t>
      </w:r>
      <w:hyperlink r:id="rId19" w:history="1">
        <w:r w:rsidRPr="005F7FED">
          <w:rPr>
            <w:color w:val="000000" w:themeColor="text1"/>
            <w:u w:val="single"/>
            <w:lang w:val="en-GB" w:eastAsia="en-GB"/>
          </w:rPr>
          <w:t>Education (Provision of Full-Time Education for Excluded Pupils) (England) Regulations 2007</w:t>
        </w:r>
      </w:hyperlink>
      <w:r w:rsidRPr="005F7FED">
        <w:rPr>
          <w:color w:val="000000" w:themeColor="text1"/>
          <w:lang w:val="en-GB" w:eastAsia="en-GB"/>
        </w:rPr>
        <w:t xml:space="preserve">, as amended by </w:t>
      </w:r>
      <w:hyperlink r:id="rId20" w:history="1">
        <w:r w:rsidRPr="005F7FED">
          <w:rPr>
            <w:color w:val="000000" w:themeColor="text1"/>
            <w:u w:val="single"/>
            <w:lang w:val="en-GB" w:eastAsia="en-GB"/>
          </w:rPr>
          <w:t>The Education (Provision of Full-Time Education for Excluded Pupils) (England) (Amendment) Regulations 2014</w:t>
        </w:r>
      </w:hyperlink>
      <w:r w:rsidRPr="005F7FED">
        <w:rPr>
          <w:color w:val="000000" w:themeColor="text1"/>
          <w:lang w:val="en-GB" w:eastAsia="en-GB"/>
        </w:rPr>
        <w:t xml:space="preserve"> .</w:t>
      </w:r>
    </w:p>
    <w:p w14:paraId="220F0D07" w14:textId="77777777" w:rsidR="00A04B6A" w:rsidRPr="005F7FED" w:rsidRDefault="00A04B6A" w:rsidP="005F7FED">
      <w:pPr>
        <w:spacing w:after="0" w:line="360" w:lineRule="auto"/>
        <w:rPr>
          <w:rFonts w:ascii="Arial" w:hAnsi="Arial" w:cs="Arial"/>
          <w:b/>
          <w:color w:val="000000" w:themeColor="text1"/>
          <w:sz w:val="20"/>
          <w:szCs w:val="20"/>
          <w:u w:val="single"/>
        </w:rPr>
      </w:pPr>
    </w:p>
    <w:p w14:paraId="0B8B51BA" w14:textId="0EE95751" w:rsidR="00A04B6A" w:rsidRPr="00281456" w:rsidRDefault="003B0248" w:rsidP="00281456">
      <w:pPr>
        <w:pStyle w:val="Heading1"/>
        <w:spacing w:before="0" w:line="360" w:lineRule="auto"/>
        <w:rPr>
          <w:rFonts w:ascii="Arial" w:hAnsi="Arial" w:cs="Arial"/>
          <w:b/>
          <w:color w:val="000000" w:themeColor="text1"/>
          <w:sz w:val="20"/>
          <w:szCs w:val="20"/>
        </w:rPr>
      </w:pPr>
      <w:bookmarkStart w:id="3" w:name="_Toc87532560"/>
      <w:bookmarkStart w:id="4" w:name="_Toc87533035"/>
      <w:r w:rsidRPr="005F7FED">
        <w:rPr>
          <w:rFonts w:ascii="Arial" w:hAnsi="Arial" w:cs="Arial"/>
          <w:b/>
          <w:color w:val="000000" w:themeColor="text1"/>
          <w:sz w:val="20"/>
          <w:szCs w:val="20"/>
        </w:rPr>
        <w:t>3. Definition</w:t>
      </w:r>
      <w:bookmarkEnd w:id="3"/>
      <w:bookmarkEnd w:id="4"/>
    </w:p>
    <w:p w14:paraId="7ACB0630"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The DfE Exclusion guidance provides the following definitions:</w:t>
      </w:r>
    </w:p>
    <w:p w14:paraId="59B9536D" w14:textId="77777777" w:rsidR="00A04B6A" w:rsidRPr="005F7FED" w:rsidRDefault="003B0248" w:rsidP="005F7FED">
      <w:pPr>
        <w:pStyle w:val="ListParagraph"/>
        <w:numPr>
          <w:ilvl w:val="0"/>
          <w:numId w:val="19"/>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‘Parents’ refers to parent(s)/legal guardian(s)/foster carer(s) of students under 18, as well as to students over 18.</w:t>
      </w:r>
    </w:p>
    <w:p w14:paraId="35C25D55" w14:textId="77777777" w:rsidR="00A04B6A" w:rsidRPr="005F7FED" w:rsidRDefault="003B0248" w:rsidP="005F7FED">
      <w:pPr>
        <w:pStyle w:val="ListParagraph"/>
        <w:numPr>
          <w:ilvl w:val="0"/>
          <w:numId w:val="19"/>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A suspension is when a student is barred from the school for a fixed amount of time (including suspensions during lunchtime).</w:t>
      </w:r>
    </w:p>
    <w:p w14:paraId="7C834C75" w14:textId="77777777" w:rsidR="00A04B6A" w:rsidRPr="005F7FED" w:rsidRDefault="003B0248" w:rsidP="005F7FED">
      <w:pPr>
        <w:pStyle w:val="ListParagraph"/>
        <w:numPr>
          <w:ilvl w:val="0"/>
          <w:numId w:val="19"/>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A permanent exclusion is when a pupil is permanently barred from the school premises. </w:t>
      </w:r>
    </w:p>
    <w:p w14:paraId="541928C0" w14:textId="77777777" w:rsidR="00A04B6A" w:rsidRPr="005F7FED" w:rsidRDefault="003B0248" w:rsidP="005F7FED">
      <w:pPr>
        <w:pStyle w:val="ListParagraph"/>
        <w:numPr>
          <w:ilvl w:val="0"/>
          <w:numId w:val="19"/>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The school day is defined as any day on which there is a school session. Therefore, INSET or staff training days do not count as a school day. </w:t>
      </w:r>
    </w:p>
    <w:p w14:paraId="643D3E84" w14:textId="77777777" w:rsidR="00A04B6A" w:rsidRPr="005F7FED" w:rsidRDefault="00A04B6A" w:rsidP="005F7FED">
      <w:pPr>
        <w:spacing w:after="0" w:line="360" w:lineRule="auto"/>
        <w:rPr>
          <w:rFonts w:ascii="Arial" w:hAnsi="Arial" w:cs="Arial"/>
          <w:b/>
          <w:color w:val="000000" w:themeColor="text1"/>
          <w:sz w:val="20"/>
          <w:szCs w:val="20"/>
          <w:u w:val="single"/>
        </w:rPr>
      </w:pPr>
    </w:p>
    <w:p w14:paraId="7CE6AFF9" w14:textId="68E1E489" w:rsidR="00A04B6A" w:rsidRPr="005F7FED" w:rsidRDefault="003B0248" w:rsidP="005F7FED">
      <w:pPr>
        <w:spacing w:after="0" w:line="360" w:lineRule="auto"/>
        <w:rPr>
          <w:rFonts w:ascii="Arial" w:hAnsi="Arial" w:cs="Arial"/>
          <w:b/>
          <w:color w:val="000000" w:themeColor="text1"/>
          <w:sz w:val="20"/>
          <w:szCs w:val="20"/>
        </w:rPr>
      </w:pPr>
      <w:r w:rsidRPr="005F7FED">
        <w:rPr>
          <w:rFonts w:ascii="Arial" w:hAnsi="Arial" w:cs="Arial"/>
          <w:b/>
          <w:color w:val="000000" w:themeColor="text1"/>
          <w:sz w:val="20"/>
          <w:szCs w:val="20"/>
        </w:rPr>
        <w:t>4. The decision to exclude</w:t>
      </w:r>
    </w:p>
    <w:p w14:paraId="38F9D799" w14:textId="77777777" w:rsidR="00A04B6A" w:rsidRPr="005F7FED" w:rsidRDefault="003B0248" w:rsidP="005F7FED">
      <w:pPr>
        <w:spacing w:after="0" w:line="360" w:lineRule="auto"/>
        <w:rPr>
          <w:rFonts w:ascii="Arial" w:hAnsi="Arial" w:cs="Arial"/>
          <w:i/>
          <w:iCs/>
          <w:color w:val="000000" w:themeColor="text1"/>
          <w:sz w:val="20"/>
          <w:szCs w:val="20"/>
        </w:rPr>
      </w:pPr>
      <w:r w:rsidRPr="005F7FED">
        <w:rPr>
          <w:rFonts w:ascii="Arial" w:hAnsi="Arial" w:cs="Arial"/>
          <w:color w:val="000000" w:themeColor="text1"/>
          <w:sz w:val="20"/>
          <w:szCs w:val="20"/>
        </w:rPr>
        <w:t xml:space="preserve">A suspension must be </w:t>
      </w:r>
      <w:r w:rsidRPr="005F7FED">
        <w:rPr>
          <w:rFonts w:ascii="Arial" w:hAnsi="Arial" w:cs="Arial"/>
          <w:b/>
          <w:bCs/>
          <w:color w:val="000000" w:themeColor="text1"/>
          <w:sz w:val="20"/>
          <w:szCs w:val="20"/>
        </w:rPr>
        <w:t>‘lawful, reasonable, fair, and proportionate’</w:t>
      </w:r>
      <w:r w:rsidRPr="005F7FED">
        <w:rPr>
          <w:rFonts w:ascii="Arial" w:hAnsi="Arial" w:cs="Arial"/>
          <w:color w:val="000000" w:themeColor="text1"/>
          <w:sz w:val="20"/>
          <w:szCs w:val="20"/>
        </w:rPr>
        <w:t xml:space="preserve"> ‘in response to a serious breach or persistent breaches of the school’s behaviour policy’ or ‘where allowing the pupil to remain in school would seriously harm the education or welfare of the pupil or others in the school’ </w:t>
      </w:r>
      <w:r w:rsidRPr="005F7FED">
        <w:rPr>
          <w:rFonts w:ascii="Arial" w:hAnsi="Arial" w:cs="Arial"/>
          <w:i/>
          <w:iCs/>
          <w:color w:val="000000" w:themeColor="text1"/>
          <w:sz w:val="20"/>
          <w:szCs w:val="20"/>
        </w:rPr>
        <w:t>(Department for Education (2017) Exclusion from maintained schools, Academies and pupil referral units in England, para.16, p10)</w:t>
      </w:r>
    </w:p>
    <w:p w14:paraId="63D0D109"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lastRenderedPageBreak/>
        <w:t>'Informal' or 'unofficial' exclusions are unlawful. We must formally record all suspensions, even if they only happen for a short period of time. This means that 'informal' suspensions, like sending a student home to 'cool off', still count as a formal suspension.</w:t>
      </w:r>
    </w:p>
    <w:p w14:paraId="5CF038E9" w14:textId="77777777" w:rsidR="00A04B6A" w:rsidRPr="005F7FED" w:rsidRDefault="00A04B6A" w:rsidP="005F7FED">
      <w:pPr>
        <w:spacing w:after="0" w:line="360" w:lineRule="auto"/>
        <w:rPr>
          <w:rFonts w:ascii="Arial" w:hAnsi="Arial" w:cs="Arial"/>
          <w:color w:val="000000" w:themeColor="text1"/>
          <w:sz w:val="20"/>
          <w:szCs w:val="20"/>
        </w:rPr>
      </w:pPr>
    </w:p>
    <w:p w14:paraId="06C4190A"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A suspension may be considered ‘lawful, reasonable, fair, and proportionate’ if we can answer ‘yes’ to the following questions:</w:t>
      </w:r>
    </w:p>
    <w:p w14:paraId="2C0158AB" w14:textId="77777777" w:rsidR="00A04B6A" w:rsidRPr="005F7FED" w:rsidRDefault="003B0248" w:rsidP="005F7FED">
      <w:pPr>
        <w:pStyle w:val="ListParagraph"/>
        <w:numPr>
          <w:ilvl w:val="0"/>
          <w:numId w:val="8"/>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Have we established the facts and there is enough evidence that they are </w:t>
      </w:r>
      <w:r w:rsidRPr="005F7FED">
        <w:rPr>
          <w:rFonts w:ascii="Arial" w:hAnsi="Arial" w:cs="Arial"/>
          <w:b/>
          <w:color w:val="000000" w:themeColor="text1"/>
          <w:sz w:val="20"/>
          <w:szCs w:val="20"/>
        </w:rPr>
        <w:t>more likely to have happened than not</w:t>
      </w:r>
      <w:r w:rsidRPr="005F7FED">
        <w:rPr>
          <w:rFonts w:ascii="Arial" w:hAnsi="Arial" w:cs="Arial"/>
          <w:color w:val="000000" w:themeColor="text1"/>
          <w:sz w:val="20"/>
          <w:szCs w:val="20"/>
        </w:rPr>
        <w:t xml:space="preserve"> (this is called the ‘civil standard of proof’)?</w:t>
      </w:r>
    </w:p>
    <w:p w14:paraId="4AB36F43" w14:textId="77777777" w:rsidR="00A04B6A" w:rsidRPr="005F7FED" w:rsidRDefault="003B0248" w:rsidP="005F7FED">
      <w:pPr>
        <w:pStyle w:val="ListParagraph"/>
        <w:numPr>
          <w:ilvl w:val="0"/>
          <w:numId w:val="8"/>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Have we met our responsibilities under the Equality Act 2010? </w:t>
      </w:r>
      <w:r w:rsidRPr="005F7FED">
        <w:rPr>
          <w:rFonts w:ascii="Arial" w:hAnsi="Arial" w:cs="Arial"/>
          <w:b/>
          <w:color w:val="000000" w:themeColor="text1"/>
          <w:sz w:val="20"/>
          <w:szCs w:val="20"/>
        </w:rPr>
        <w:t>We must not discriminate</w:t>
      </w:r>
      <w:r w:rsidRPr="005F7FED">
        <w:rPr>
          <w:rFonts w:ascii="Arial" w:hAnsi="Arial" w:cs="Arial"/>
          <w:color w:val="000000" w:themeColor="text1"/>
          <w:sz w:val="20"/>
          <w:szCs w:val="20"/>
        </w:rPr>
        <w:t xml:space="preserve"> against students because of their sex, race, disability, religion or belief, sexual orientation, pregnancy/</w:t>
      </w:r>
      <w:proofErr w:type="gramStart"/>
      <w:r w:rsidRPr="005F7FED">
        <w:rPr>
          <w:rFonts w:ascii="Arial" w:hAnsi="Arial" w:cs="Arial"/>
          <w:color w:val="000000" w:themeColor="text1"/>
          <w:sz w:val="20"/>
          <w:szCs w:val="20"/>
        </w:rPr>
        <w:t>maternity</w:t>
      </w:r>
      <w:proofErr w:type="gramEnd"/>
      <w:r w:rsidRPr="005F7FED">
        <w:rPr>
          <w:rFonts w:ascii="Arial" w:hAnsi="Arial" w:cs="Arial"/>
          <w:color w:val="000000" w:themeColor="text1"/>
          <w:sz w:val="20"/>
          <w:szCs w:val="20"/>
        </w:rPr>
        <w:t xml:space="preserve"> or gender reassignment.</w:t>
      </w:r>
    </w:p>
    <w:p w14:paraId="60C040B1" w14:textId="77777777" w:rsidR="00A04B6A" w:rsidRPr="005F7FED" w:rsidRDefault="003B0248" w:rsidP="005F7FED">
      <w:pPr>
        <w:pStyle w:val="ListParagraph"/>
        <w:numPr>
          <w:ilvl w:val="0"/>
          <w:numId w:val="8"/>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Are there </w:t>
      </w:r>
      <w:r w:rsidRPr="005F7FED">
        <w:rPr>
          <w:rFonts w:ascii="Arial" w:hAnsi="Arial" w:cs="Arial"/>
          <w:b/>
          <w:color w:val="000000" w:themeColor="text1"/>
          <w:sz w:val="20"/>
          <w:szCs w:val="20"/>
        </w:rPr>
        <w:t>no external factors</w:t>
      </w:r>
      <w:r w:rsidRPr="005F7FED">
        <w:rPr>
          <w:rFonts w:ascii="Arial" w:hAnsi="Arial" w:cs="Arial"/>
          <w:color w:val="000000" w:themeColor="text1"/>
          <w:sz w:val="20"/>
          <w:szCs w:val="20"/>
        </w:rPr>
        <w:t xml:space="preserve"> that may have contributed to the behaviour incident? For example, the student may have suffered a bereavement or been subject to bullying. </w:t>
      </w:r>
    </w:p>
    <w:p w14:paraId="4A7EC0F5" w14:textId="77777777" w:rsidR="00A04B6A" w:rsidRPr="005F7FED" w:rsidRDefault="003B0248" w:rsidP="005F7FED">
      <w:pPr>
        <w:pStyle w:val="ListParagraph"/>
        <w:numPr>
          <w:ilvl w:val="0"/>
          <w:numId w:val="8"/>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Is the student </w:t>
      </w:r>
      <w:r w:rsidRPr="005F7FED">
        <w:rPr>
          <w:rFonts w:ascii="Arial" w:hAnsi="Arial" w:cs="Arial"/>
          <w:b/>
          <w:color w:val="000000" w:themeColor="text1"/>
          <w:sz w:val="20"/>
          <w:szCs w:val="20"/>
        </w:rPr>
        <w:t>not part of a group</w:t>
      </w:r>
      <w:r w:rsidRPr="005F7FED">
        <w:rPr>
          <w:rFonts w:ascii="Arial" w:hAnsi="Arial" w:cs="Arial"/>
          <w:color w:val="000000" w:themeColor="text1"/>
          <w:sz w:val="20"/>
          <w:szCs w:val="20"/>
        </w:rPr>
        <w:t xml:space="preserve"> with disproportionately high exclusion rates? We need to consider current and potential interventions and extra support for the student before excluding them.</w:t>
      </w:r>
    </w:p>
    <w:p w14:paraId="7BBD5E1A" w14:textId="77777777" w:rsidR="00A04B6A" w:rsidRPr="005F7FED" w:rsidRDefault="003B0248" w:rsidP="005F7FED">
      <w:pPr>
        <w:pStyle w:val="ListParagraph"/>
        <w:numPr>
          <w:ilvl w:val="0"/>
          <w:numId w:val="8"/>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Have we given the student an opportunity to present their case </w:t>
      </w:r>
      <w:r w:rsidRPr="005F7FED">
        <w:rPr>
          <w:rFonts w:ascii="Arial" w:hAnsi="Arial" w:cs="Arial"/>
          <w:b/>
          <w:bCs/>
          <w:color w:val="000000" w:themeColor="text1"/>
          <w:sz w:val="20"/>
          <w:szCs w:val="20"/>
        </w:rPr>
        <w:t>before</w:t>
      </w:r>
      <w:r w:rsidRPr="005F7FED">
        <w:rPr>
          <w:rFonts w:ascii="Arial" w:hAnsi="Arial" w:cs="Arial"/>
          <w:color w:val="000000" w:themeColor="text1"/>
          <w:sz w:val="20"/>
          <w:szCs w:val="20"/>
        </w:rPr>
        <w:t xml:space="preserve"> we decide to suspend them? </w:t>
      </w:r>
    </w:p>
    <w:p w14:paraId="1BE5893F" w14:textId="77777777" w:rsidR="00A04B6A" w:rsidRPr="005F7FED" w:rsidRDefault="00A04B6A" w:rsidP="005F7FED">
      <w:pPr>
        <w:spacing w:after="0" w:line="360" w:lineRule="auto"/>
        <w:rPr>
          <w:rFonts w:ascii="Arial" w:hAnsi="Arial" w:cs="Arial"/>
          <w:color w:val="000000" w:themeColor="text1"/>
          <w:sz w:val="20"/>
          <w:szCs w:val="20"/>
        </w:rPr>
      </w:pPr>
    </w:p>
    <w:p w14:paraId="5331200C" w14:textId="04231ACE" w:rsidR="00A04B6A" w:rsidRPr="00281456" w:rsidRDefault="003B0248" w:rsidP="005F7FED">
      <w:pPr>
        <w:spacing w:after="0" w:line="360" w:lineRule="auto"/>
        <w:rPr>
          <w:rFonts w:ascii="Arial" w:hAnsi="Arial" w:cs="Arial"/>
          <w:b/>
          <w:color w:val="000000" w:themeColor="text1"/>
          <w:sz w:val="20"/>
          <w:szCs w:val="20"/>
        </w:rPr>
      </w:pPr>
      <w:r w:rsidRPr="005F7FED">
        <w:rPr>
          <w:rFonts w:ascii="Arial" w:hAnsi="Arial" w:cs="Arial"/>
          <w:b/>
          <w:color w:val="000000" w:themeColor="text1"/>
          <w:sz w:val="20"/>
          <w:szCs w:val="20"/>
        </w:rPr>
        <w:t>5. Assessment process</w:t>
      </w:r>
    </w:p>
    <w:p w14:paraId="1EA7496C" w14:textId="2C7F89D3"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At MS</w:t>
      </w:r>
      <w:r w:rsidR="000E7463">
        <w:rPr>
          <w:rFonts w:ascii="Arial" w:hAnsi="Arial" w:cs="Arial"/>
          <w:color w:val="000000" w:themeColor="text1"/>
          <w:sz w:val="20"/>
          <w:szCs w:val="20"/>
        </w:rPr>
        <w:t>E</w:t>
      </w:r>
      <w:r w:rsidRPr="005F7FED">
        <w:rPr>
          <w:rFonts w:ascii="Arial" w:hAnsi="Arial" w:cs="Arial"/>
          <w:color w:val="000000" w:themeColor="text1"/>
          <w:sz w:val="20"/>
          <w:szCs w:val="20"/>
        </w:rPr>
        <w:t xml:space="preserve">, </w:t>
      </w:r>
      <w:r w:rsidR="00D0328B">
        <w:rPr>
          <w:rFonts w:ascii="Arial" w:hAnsi="Arial" w:cs="Arial"/>
          <w:color w:val="000000" w:themeColor="text1"/>
          <w:sz w:val="20"/>
          <w:szCs w:val="20"/>
        </w:rPr>
        <w:t xml:space="preserve">SLT, </w:t>
      </w:r>
      <w:r w:rsidRPr="005F7FED">
        <w:rPr>
          <w:rFonts w:ascii="Arial" w:hAnsi="Arial" w:cs="Arial"/>
          <w:color w:val="000000" w:themeColor="text1"/>
          <w:sz w:val="20"/>
          <w:szCs w:val="20"/>
        </w:rPr>
        <w:t xml:space="preserve">Learning Centre </w:t>
      </w:r>
      <w:r w:rsidR="000E7463">
        <w:rPr>
          <w:rFonts w:ascii="Arial" w:hAnsi="Arial" w:cs="Arial"/>
          <w:color w:val="000000" w:themeColor="text1"/>
          <w:sz w:val="20"/>
          <w:szCs w:val="20"/>
        </w:rPr>
        <w:t>Managers</w:t>
      </w:r>
      <w:r w:rsidRPr="005F7FED">
        <w:rPr>
          <w:rFonts w:ascii="Arial" w:hAnsi="Arial" w:cs="Arial"/>
          <w:color w:val="000000" w:themeColor="text1"/>
          <w:sz w:val="20"/>
          <w:szCs w:val="20"/>
        </w:rPr>
        <w:t>,</w:t>
      </w:r>
      <w:r w:rsidR="00D0328B">
        <w:rPr>
          <w:rFonts w:ascii="Arial" w:hAnsi="Arial" w:cs="Arial"/>
          <w:color w:val="000000" w:themeColor="text1"/>
          <w:sz w:val="20"/>
          <w:szCs w:val="20"/>
        </w:rPr>
        <w:t xml:space="preserve"> and centre teams</w:t>
      </w:r>
      <w:r w:rsidRPr="005F7FED">
        <w:rPr>
          <w:rFonts w:ascii="Arial" w:hAnsi="Arial" w:cs="Arial"/>
          <w:color w:val="000000" w:themeColor="text1"/>
          <w:sz w:val="20"/>
          <w:szCs w:val="20"/>
        </w:rPr>
        <w:t xml:space="preserve"> manage all potential and actual behaviour incidents. Incidents that can be characterised by the following </w:t>
      </w:r>
      <w:r w:rsidRPr="005F7FED">
        <w:rPr>
          <w:rFonts w:ascii="Arial" w:hAnsi="Arial" w:cs="Arial"/>
          <w:b/>
          <w:bCs/>
          <w:color w:val="000000" w:themeColor="text1"/>
          <w:sz w:val="20"/>
          <w:szCs w:val="20"/>
        </w:rPr>
        <w:t>may</w:t>
      </w:r>
      <w:r w:rsidRPr="005F7FED">
        <w:rPr>
          <w:rFonts w:ascii="Arial" w:hAnsi="Arial" w:cs="Arial"/>
          <w:color w:val="000000" w:themeColor="text1"/>
          <w:sz w:val="20"/>
          <w:szCs w:val="20"/>
        </w:rPr>
        <w:t xml:space="preserve"> be considered for a suspension:</w:t>
      </w:r>
    </w:p>
    <w:p w14:paraId="12B87EA4" w14:textId="77777777" w:rsidR="00A04B6A" w:rsidRPr="005F7FED" w:rsidRDefault="003B0248" w:rsidP="005F7FED">
      <w:pPr>
        <w:pStyle w:val="ListParagraph"/>
        <w:numPr>
          <w:ilvl w:val="0"/>
          <w:numId w:val="11"/>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Physical aggression towards a peer or staff member.</w:t>
      </w:r>
    </w:p>
    <w:p w14:paraId="4ADF1B37" w14:textId="77777777" w:rsidR="00A04B6A" w:rsidRPr="005F7FED" w:rsidRDefault="003B0248" w:rsidP="005F7FED">
      <w:pPr>
        <w:pStyle w:val="ListParagraph"/>
        <w:numPr>
          <w:ilvl w:val="0"/>
          <w:numId w:val="11"/>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Discriminatory behaviour.</w:t>
      </w:r>
    </w:p>
    <w:p w14:paraId="6C23EB50" w14:textId="77777777" w:rsidR="00A04B6A" w:rsidRPr="005F7FED" w:rsidRDefault="003B0248" w:rsidP="005F7FED">
      <w:pPr>
        <w:pStyle w:val="ListParagraph"/>
        <w:numPr>
          <w:ilvl w:val="0"/>
          <w:numId w:val="11"/>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Harmful sexual behaviour. </w:t>
      </w:r>
    </w:p>
    <w:p w14:paraId="39075034" w14:textId="77777777" w:rsidR="00A04B6A" w:rsidRPr="005F7FED" w:rsidRDefault="003B0248" w:rsidP="005F7FED">
      <w:pPr>
        <w:pStyle w:val="ListParagraph"/>
        <w:numPr>
          <w:ilvl w:val="0"/>
          <w:numId w:val="11"/>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Use of prohibited items on site, such as smoking paraphernalia, drugs, weapons.</w:t>
      </w:r>
    </w:p>
    <w:p w14:paraId="689CA358" w14:textId="77777777" w:rsidR="00A04B6A" w:rsidRPr="005F7FED" w:rsidRDefault="003B0248" w:rsidP="005F7FED">
      <w:pPr>
        <w:pStyle w:val="ListParagraph"/>
        <w:numPr>
          <w:ilvl w:val="0"/>
          <w:numId w:val="11"/>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Intentional destruction of or damage to property.</w:t>
      </w:r>
    </w:p>
    <w:p w14:paraId="5C33599C" w14:textId="77777777" w:rsidR="00A04B6A" w:rsidRPr="005F7FED" w:rsidRDefault="00A04B6A" w:rsidP="005F7FED">
      <w:pPr>
        <w:pStyle w:val="ListParagraph"/>
        <w:spacing w:after="0" w:line="360" w:lineRule="auto"/>
        <w:rPr>
          <w:rFonts w:ascii="Arial" w:hAnsi="Arial" w:cs="Arial"/>
          <w:color w:val="000000" w:themeColor="text1"/>
          <w:sz w:val="20"/>
          <w:szCs w:val="20"/>
        </w:rPr>
      </w:pPr>
    </w:p>
    <w:p w14:paraId="39018C11"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This list is not exhaustive.</w:t>
      </w:r>
    </w:p>
    <w:p w14:paraId="0B672C37" w14:textId="77777777" w:rsidR="00A04B6A" w:rsidRPr="005F7FED" w:rsidRDefault="00A04B6A" w:rsidP="005F7FED">
      <w:pPr>
        <w:spacing w:after="0" w:line="360" w:lineRule="auto"/>
        <w:rPr>
          <w:rFonts w:ascii="Arial" w:hAnsi="Arial" w:cs="Arial"/>
          <w:color w:val="000000" w:themeColor="text1"/>
          <w:sz w:val="20"/>
          <w:szCs w:val="20"/>
        </w:rPr>
      </w:pPr>
    </w:p>
    <w:p w14:paraId="1017EAC3" w14:textId="2461E8B9"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Immediately following an incident, </w:t>
      </w:r>
      <w:r w:rsidR="00281456">
        <w:rPr>
          <w:rFonts w:ascii="Arial" w:hAnsi="Arial" w:cs="Arial"/>
          <w:color w:val="000000" w:themeColor="text1"/>
          <w:sz w:val="20"/>
          <w:szCs w:val="20"/>
        </w:rPr>
        <w:t>SLT/learning centre manager</w:t>
      </w:r>
      <w:r w:rsidRPr="005F7FED">
        <w:rPr>
          <w:rFonts w:ascii="Arial" w:hAnsi="Arial" w:cs="Arial"/>
          <w:color w:val="000000" w:themeColor="text1"/>
          <w:sz w:val="20"/>
          <w:szCs w:val="20"/>
        </w:rPr>
        <w:t xml:space="preserve"> will undertake a risk assessment to establish if, with additional support, it is possible for the student(s) to remain on site </w:t>
      </w:r>
      <w:r w:rsidRPr="005F7FED">
        <w:rPr>
          <w:rFonts w:ascii="Arial" w:hAnsi="Arial" w:cs="Arial"/>
          <w:b/>
          <w:bCs/>
          <w:color w:val="000000" w:themeColor="text1"/>
          <w:sz w:val="20"/>
          <w:szCs w:val="20"/>
        </w:rPr>
        <w:t>whilst</w:t>
      </w:r>
      <w:r w:rsidRPr="005F7FED">
        <w:rPr>
          <w:rFonts w:ascii="Arial" w:hAnsi="Arial" w:cs="Arial"/>
          <w:color w:val="000000" w:themeColor="text1"/>
          <w:sz w:val="20"/>
          <w:szCs w:val="20"/>
        </w:rPr>
        <w:t xml:space="preserve"> the investigation into the incident is carried out. Wherever possible, M</w:t>
      </w:r>
      <w:r w:rsidR="00D0328B">
        <w:rPr>
          <w:rFonts w:ascii="Arial" w:hAnsi="Arial" w:cs="Arial"/>
          <w:color w:val="000000" w:themeColor="text1"/>
          <w:sz w:val="20"/>
          <w:szCs w:val="20"/>
        </w:rPr>
        <w:t xml:space="preserve">SE </w:t>
      </w:r>
      <w:r w:rsidRPr="005F7FED">
        <w:rPr>
          <w:rFonts w:ascii="Arial" w:hAnsi="Arial" w:cs="Arial"/>
          <w:color w:val="000000" w:themeColor="text1"/>
          <w:sz w:val="20"/>
          <w:szCs w:val="20"/>
        </w:rPr>
        <w:t xml:space="preserve">protocol is to carry out the investigation </w:t>
      </w:r>
      <w:r w:rsidRPr="005F7FED">
        <w:rPr>
          <w:rFonts w:ascii="Arial" w:hAnsi="Arial" w:cs="Arial"/>
          <w:b/>
          <w:bCs/>
          <w:color w:val="000000" w:themeColor="text1"/>
          <w:sz w:val="20"/>
          <w:szCs w:val="20"/>
        </w:rPr>
        <w:t>whilst the student remains on site</w:t>
      </w:r>
      <w:r w:rsidRPr="005F7FED">
        <w:rPr>
          <w:rFonts w:ascii="Arial" w:hAnsi="Arial" w:cs="Arial"/>
          <w:color w:val="000000" w:themeColor="text1"/>
          <w:sz w:val="20"/>
          <w:szCs w:val="20"/>
        </w:rPr>
        <w:t xml:space="preserve"> before reaching a decision to suspend or not.</w:t>
      </w:r>
    </w:p>
    <w:p w14:paraId="0095F7D6" w14:textId="77777777" w:rsidR="00A04B6A" w:rsidRPr="005F7FED" w:rsidRDefault="00A04B6A" w:rsidP="005F7FED">
      <w:pPr>
        <w:spacing w:after="0" w:line="360" w:lineRule="auto"/>
        <w:rPr>
          <w:rFonts w:ascii="Arial" w:hAnsi="Arial" w:cs="Arial"/>
          <w:color w:val="000000" w:themeColor="text1"/>
          <w:sz w:val="20"/>
          <w:szCs w:val="20"/>
        </w:rPr>
      </w:pPr>
    </w:p>
    <w:p w14:paraId="14517AAD"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If the assessment concludes that allowing the student(s) to remain in school would seriously harm the education or welfare of the student(s) or others in the school, and that the student(s) must be sent home, </w:t>
      </w:r>
      <w:r w:rsidRPr="005F7FED">
        <w:rPr>
          <w:rFonts w:ascii="Arial" w:hAnsi="Arial" w:cs="Arial"/>
          <w:b/>
          <w:bCs/>
          <w:color w:val="000000" w:themeColor="text1"/>
          <w:sz w:val="20"/>
          <w:szCs w:val="20"/>
        </w:rPr>
        <w:t>a suspension must be issued based on the evidence available</w:t>
      </w:r>
      <w:r w:rsidRPr="005F7FED">
        <w:rPr>
          <w:rFonts w:ascii="Arial" w:hAnsi="Arial" w:cs="Arial"/>
          <w:color w:val="000000" w:themeColor="text1"/>
          <w:sz w:val="20"/>
          <w:szCs w:val="20"/>
        </w:rPr>
        <w:t xml:space="preserve">. This suspension </w:t>
      </w:r>
      <w:r w:rsidRPr="005F7FED">
        <w:rPr>
          <w:rFonts w:ascii="Arial" w:hAnsi="Arial" w:cs="Arial"/>
          <w:b/>
          <w:bCs/>
          <w:color w:val="000000" w:themeColor="text1"/>
          <w:sz w:val="20"/>
          <w:szCs w:val="20"/>
        </w:rPr>
        <w:t>cannot be extended</w:t>
      </w:r>
      <w:r w:rsidRPr="005F7FED">
        <w:rPr>
          <w:rFonts w:ascii="Arial" w:hAnsi="Arial" w:cs="Arial"/>
          <w:color w:val="000000" w:themeColor="text1"/>
          <w:sz w:val="20"/>
          <w:szCs w:val="20"/>
        </w:rPr>
        <w:t xml:space="preserve"> unless, in exceptional cases, where further evidence has come to light, a further suspension may be issued to begin immediately after the first period ends. Conversely, the Headteacher may withdraw a suspension that has not been reviewed by the governing body. </w:t>
      </w:r>
    </w:p>
    <w:p w14:paraId="56E9006F" w14:textId="346ECA28"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lastRenderedPageBreak/>
        <w:t xml:space="preserve">All staff </w:t>
      </w:r>
      <w:r w:rsidRPr="005F7FED">
        <w:rPr>
          <w:rFonts w:ascii="Arial" w:hAnsi="Arial" w:cs="Arial"/>
          <w:b/>
          <w:bCs/>
          <w:color w:val="000000" w:themeColor="text1"/>
          <w:sz w:val="20"/>
          <w:szCs w:val="20"/>
        </w:rPr>
        <w:t>must</w:t>
      </w:r>
      <w:r w:rsidRPr="005F7FED">
        <w:rPr>
          <w:rFonts w:ascii="Arial" w:hAnsi="Arial" w:cs="Arial"/>
          <w:color w:val="000000" w:themeColor="text1"/>
          <w:sz w:val="20"/>
          <w:szCs w:val="20"/>
        </w:rPr>
        <w:t xml:space="preserve"> ensure that both student and staff statements plus any supporting evidence (such as photos of damage) are completed and submitted to </w:t>
      </w:r>
      <w:r w:rsidR="00914F36">
        <w:rPr>
          <w:rFonts w:ascii="Arial" w:hAnsi="Arial" w:cs="Arial"/>
          <w:color w:val="000000" w:themeColor="text1"/>
          <w:sz w:val="20"/>
          <w:szCs w:val="20"/>
        </w:rPr>
        <w:t>the Headteacher</w:t>
      </w:r>
      <w:r w:rsidR="00914F36" w:rsidRPr="005F7FED">
        <w:rPr>
          <w:rFonts w:ascii="Arial" w:hAnsi="Arial" w:cs="Arial"/>
          <w:color w:val="000000" w:themeColor="text1"/>
          <w:sz w:val="20"/>
          <w:szCs w:val="20"/>
        </w:rPr>
        <w:t xml:space="preserve"> </w:t>
      </w:r>
      <w:r w:rsidRPr="005F7FED">
        <w:rPr>
          <w:rFonts w:ascii="Arial" w:hAnsi="Arial" w:cs="Arial"/>
          <w:b/>
          <w:bCs/>
          <w:color w:val="000000" w:themeColor="text1"/>
          <w:sz w:val="20"/>
          <w:szCs w:val="20"/>
        </w:rPr>
        <w:t>by 3:45pm on the same day</w:t>
      </w:r>
      <w:r w:rsidRPr="005F7FED">
        <w:rPr>
          <w:rFonts w:ascii="Arial" w:hAnsi="Arial" w:cs="Arial"/>
          <w:color w:val="000000" w:themeColor="text1"/>
          <w:sz w:val="20"/>
          <w:szCs w:val="20"/>
        </w:rPr>
        <w:t xml:space="preserve">. Once the evidence has been gathered and submitted, the </w:t>
      </w:r>
      <w:r w:rsidR="00914F36">
        <w:rPr>
          <w:rFonts w:ascii="Arial" w:hAnsi="Arial" w:cs="Arial"/>
          <w:color w:val="000000" w:themeColor="text1"/>
          <w:sz w:val="20"/>
          <w:szCs w:val="20"/>
        </w:rPr>
        <w:t>Headteache</w:t>
      </w:r>
      <w:r w:rsidR="00914F36">
        <w:rPr>
          <w:rFonts w:ascii="Arial" w:hAnsi="Arial" w:cs="Arial"/>
          <w:color w:val="000000" w:themeColor="text1"/>
          <w:sz w:val="20"/>
          <w:szCs w:val="20"/>
        </w:rPr>
        <w:t xml:space="preserve">r </w:t>
      </w:r>
      <w:r w:rsidRPr="005F7FED">
        <w:rPr>
          <w:rFonts w:ascii="Arial" w:hAnsi="Arial" w:cs="Arial"/>
          <w:color w:val="000000" w:themeColor="text1"/>
          <w:sz w:val="20"/>
          <w:szCs w:val="20"/>
        </w:rPr>
        <w:t xml:space="preserve">will recommend next steps which </w:t>
      </w:r>
      <w:r w:rsidRPr="005F7FED">
        <w:rPr>
          <w:rFonts w:ascii="Arial" w:hAnsi="Arial" w:cs="Arial"/>
          <w:b/>
          <w:bCs/>
          <w:color w:val="000000" w:themeColor="text1"/>
          <w:sz w:val="20"/>
          <w:szCs w:val="20"/>
        </w:rPr>
        <w:t>may or may not</w:t>
      </w:r>
      <w:r w:rsidRPr="005F7FED">
        <w:rPr>
          <w:rFonts w:ascii="Arial" w:hAnsi="Arial" w:cs="Arial"/>
          <w:color w:val="000000" w:themeColor="text1"/>
          <w:sz w:val="20"/>
          <w:szCs w:val="20"/>
        </w:rPr>
        <w:t xml:space="preserve"> include a suspension dependent on the evidence presented. </w:t>
      </w:r>
    </w:p>
    <w:p w14:paraId="43C289D6" w14:textId="77777777" w:rsidR="00A04B6A" w:rsidRPr="005F7FED" w:rsidRDefault="00A04B6A" w:rsidP="005F7FED">
      <w:pPr>
        <w:spacing w:after="0" w:line="360" w:lineRule="auto"/>
        <w:rPr>
          <w:rFonts w:ascii="Arial" w:hAnsi="Arial" w:cs="Arial"/>
          <w:color w:val="000000" w:themeColor="text1"/>
          <w:sz w:val="20"/>
          <w:szCs w:val="20"/>
        </w:rPr>
      </w:pPr>
    </w:p>
    <w:p w14:paraId="192EC14B" w14:textId="12F14E8B"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All suspensions will be submitted for initial approval by </w:t>
      </w:r>
      <w:r w:rsidR="00A865D3">
        <w:rPr>
          <w:rFonts w:ascii="Arial" w:hAnsi="Arial" w:cs="Arial"/>
          <w:color w:val="000000" w:themeColor="text1"/>
          <w:sz w:val="20"/>
          <w:szCs w:val="20"/>
        </w:rPr>
        <w:t xml:space="preserve">the learning centre manager </w:t>
      </w:r>
      <w:r w:rsidRPr="005F7FED">
        <w:rPr>
          <w:rFonts w:ascii="Arial" w:hAnsi="Arial" w:cs="Arial"/>
          <w:color w:val="000000" w:themeColor="text1"/>
          <w:sz w:val="20"/>
          <w:szCs w:val="20"/>
        </w:rPr>
        <w:t>before being referred to the Headteacher.</w:t>
      </w:r>
    </w:p>
    <w:p w14:paraId="31BA18F6" w14:textId="77777777" w:rsidR="00A04B6A" w:rsidRPr="005F7FED" w:rsidRDefault="00A04B6A" w:rsidP="005F7FED">
      <w:pPr>
        <w:spacing w:after="0" w:line="360" w:lineRule="auto"/>
        <w:rPr>
          <w:rFonts w:ascii="Arial" w:hAnsi="Arial" w:cs="Arial"/>
          <w:color w:val="000000" w:themeColor="text1"/>
          <w:sz w:val="20"/>
          <w:szCs w:val="20"/>
        </w:rPr>
      </w:pPr>
    </w:p>
    <w:p w14:paraId="3453F3BA" w14:textId="6623C9D3" w:rsidR="00A04B6A" w:rsidRPr="00A865D3" w:rsidRDefault="003B0248" w:rsidP="005F7FED">
      <w:pPr>
        <w:spacing w:after="0" w:line="360" w:lineRule="auto"/>
        <w:rPr>
          <w:rFonts w:ascii="Arial" w:hAnsi="Arial" w:cs="Arial"/>
          <w:b/>
          <w:color w:val="000000" w:themeColor="text1"/>
          <w:sz w:val="20"/>
          <w:szCs w:val="20"/>
        </w:rPr>
      </w:pPr>
      <w:r w:rsidRPr="005F7FED">
        <w:rPr>
          <w:rFonts w:ascii="Arial" w:hAnsi="Arial" w:cs="Arial"/>
          <w:b/>
          <w:color w:val="000000" w:themeColor="text1"/>
          <w:sz w:val="20"/>
          <w:szCs w:val="20"/>
        </w:rPr>
        <w:t>6. Statutory duties</w:t>
      </w:r>
    </w:p>
    <w:p w14:paraId="13BA06A2" w14:textId="77777777" w:rsidR="00A04B6A" w:rsidRPr="005F7FED" w:rsidRDefault="003B0248" w:rsidP="005F7FED">
      <w:pPr>
        <w:spacing w:after="0" w:line="360" w:lineRule="auto"/>
        <w:rPr>
          <w:rFonts w:ascii="Arial" w:hAnsi="Arial" w:cs="Arial"/>
          <w:color w:val="000000" w:themeColor="text1"/>
          <w:sz w:val="20"/>
          <w:szCs w:val="20"/>
          <w:u w:val="single"/>
        </w:rPr>
      </w:pPr>
      <w:r w:rsidRPr="005F7FED">
        <w:rPr>
          <w:rFonts w:ascii="Arial" w:hAnsi="Arial" w:cs="Arial"/>
          <w:color w:val="000000" w:themeColor="text1"/>
          <w:sz w:val="20"/>
          <w:szCs w:val="20"/>
          <w:u w:val="single"/>
        </w:rPr>
        <w:t>Notifying parents</w:t>
      </w:r>
    </w:p>
    <w:p w14:paraId="629D2315"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In the event of a suspension, parents must be notified without delay of:</w:t>
      </w:r>
    </w:p>
    <w:p w14:paraId="4157B93E" w14:textId="77777777" w:rsidR="00A04B6A" w:rsidRPr="005F7FED" w:rsidRDefault="003B0248" w:rsidP="005F7FED">
      <w:pPr>
        <w:pStyle w:val="ListParagraph"/>
        <w:numPr>
          <w:ilvl w:val="0"/>
          <w:numId w:val="10"/>
        </w:numPr>
        <w:spacing w:after="0" w:line="360" w:lineRule="auto"/>
        <w:ind w:left="284" w:hanging="142"/>
        <w:rPr>
          <w:rFonts w:ascii="Arial" w:hAnsi="Arial" w:cs="Arial"/>
          <w:color w:val="000000" w:themeColor="text1"/>
          <w:sz w:val="20"/>
          <w:szCs w:val="20"/>
        </w:rPr>
      </w:pPr>
      <w:r w:rsidRPr="005F7FED">
        <w:rPr>
          <w:rFonts w:ascii="Arial" w:hAnsi="Arial" w:cs="Arial"/>
          <w:color w:val="000000" w:themeColor="text1"/>
          <w:sz w:val="20"/>
          <w:szCs w:val="20"/>
        </w:rPr>
        <w:t xml:space="preserve">the period of the suspension and the reason(s) for </w:t>
      </w:r>
      <w:proofErr w:type="gramStart"/>
      <w:r w:rsidRPr="005F7FED">
        <w:rPr>
          <w:rFonts w:ascii="Arial" w:hAnsi="Arial" w:cs="Arial"/>
          <w:color w:val="000000" w:themeColor="text1"/>
          <w:sz w:val="20"/>
          <w:szCs w:val="20"/>
        </w:rPr>
        <w:t>it;</w:t>
      </w:r>
      <w:proofErr w:type="gramEnd"/>
    </w:p>
    <w:p w14:paraId="5D6A467B" w14:textId="77777777" w:rsidR="00A04B6A" w:rsidRPr="005F7FED" w:rsidRDefault="003B0248" w:rsidP="005F7FED">
      <w:pPr>
        <w:pStyle w:val="ListParagraph"/>
        <w:numPr>
          <w:ilvl w:val="0"/>
          <w:numId w:val="10"/>
        </w:numPr>
        <w:spacing w:after="0" w:line="360" w:lineRule="auto"/>
        <w:ind w:left="284" w:hanging="142"/>
        <w:rPr>
          <w:rFonts w:ascii="Arial" w:hAnsi="Arial" w:cs="Arial"/>
          <w:b/>
          <w:bCs/>
          <w:color w:val="000000" w:themeColor="text1"/>
          <w:sz w:val="20"/>
          <w:szCs w:val="20"/>
        </w:rPr>
      </w:pPr>
      <w:r w:rsidRPr="005F7FED">
        <w:rPr>
          <w:rFonts w:ascii="Arial" w:hAnsi="Arial" w:cs="Arial"/>
          <w:color w:val="000000" w:themeColor="text1"/>
          <w:sz w:val="20"/>
          <w:szCs w:val="20"/>
        </w:rPr>
        <w:t xml:space="preserve">parents’ right to make representations about the suspension to the governing board and how any representations should be </w:t>
      </w:r>
      <w:proofErr w:type="gramStart"/>
      <w:r w:rsidRPr="005F7FED">
        <w:rPr>
          <w:rFonts w:ascii="Arial" w:hAnsi="Arial" w:cs="Arial"/>
          <w:color w:val="000000" w:themeColor="text1"/>
          <w:sz w:val="20"/>
          <w:szCs w:val="20"/>
        </w:rPr>
        <w:t>made;</w:t>
      </w:r>
      <w:proofErr w:type="gramEnd"/>
    </w:p>
    <w:p w14:paraId="511EB70C" w14:textId="77777777" w:rsidR="00A04B6A" w:rsidRPr="005F7FED" w:rsidRDefault="003B0248" w:rsidP="005F7FED">
      <w:pPr>
        <w:pStyle w:val="ListParagraph"/>
        <w:numPr>
          <w:ilvl w:val="0"/>
          <w:numId w:val="10"/>
        </w:numPr>
        <w:spacing w:after="0" w:line="360" w:lineRule="auto"/>
        <w:ind w:left="284" w:hanging="142"/>
        <w:rPr>
          <w:rFonts w:ascii="Arial" w:hAnsi="Arial" w:cs="Arial"/>
          <w:b/>
          <w:color w:val="000000" w:themeColor="text1"/>
          <w:sz w:val="20"/>
          <w:szCs w:val="20"/>
        </w:rPr>
      </w:pPr>
      <w:r w:rsidRPr="005F7FED">
        <w:rPr>
          <w:rFonts w:ascii="Arial" w:hAnsi="Arial" w:cs="Arial"/>
          <w:color w:val="000000" w:themeColor="text1"/>
          <w:sz w:val="20"/>
          <w:szCs w:val="20"/>
        </w:rPr>
        <w:t>the days on which they must ensure that the pupil is not present in a public place at any time during school hours.</w:t>
      </w:r>
    </w:p>
    <w:p w14:paraId="22612373" w14:textId="77777777" w:rsidR="00A04B6A" w:rsidRPr="005F7FED" w:rsidRDefault="00A04B6A" w:rsidP="005F7FED">
      <w:pPr>
        <w:spacing w:after="0" w:line="360" w:lineRule="auto"/>
        <w:rPr>
          <w:rFonts w:ascii="Arial" w:hAnsi="Arial" w:cs="Arial"/>
          <w:b/>
          <w:color w:val="000000" w:themeColor="text1"/>
          <w:sz w:val="20"/>
          <w:szCs w:val="20"/>
        </w:rPr>
      </w:pPr>
    </w:p>
    <w:p w14:paraId="0399AF53"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Notification should be in person or by telephone in the first instance to give parents an opportunity to ask any initial questions or raise concerns.</w:t>
      </w:r>
    </w:p>
    <w:p w14:paraId="39E7ADA3" w14:textId="77777777" w:rsidR="00A04B6A" w:rsidRPr="005F7FED" w:rsidRDefault="00A04B6A" w:rsidP="005F7FED">
      <w:pPr>
        <w:spacing w:after="0" w:line="360" w:lineRule="auto"/>
        <w:rPr>
          <w:rFonts w:ascii="Arial" w:hAnsi="Arial" w:cs="Arial"/>
          <w:color w:val="000000" w:themeColor="text1"/>
          <w:sz w:val="20"/>
          <w:szCs w:val="20"/>
        </w:rPr>
      </w:pPr>
    </w:p>
    <w:p w14:paraId="07FD1FAF" w14:textId="77777777" w:rsidR="00A04B6A" w:rsidRPr="005F7FED" w:rsidRDefault="003B0248" w:rsidP="005F7FED">
      <w:pPr>
        <w:spacing w:after="0" w:line="360" w:lineRule="auto"/>
        <w:rPr>
          <w:rFonts w:ascii="Arial" w:hAnsi="Arial" w:cs="Arial"/>
          <w:color w:val="000000" w:themeColor="text1"/>
          <w:sz w:val="20"/>
          <w:szCs w:val="20"/>
          <w:u w:val="single"/>
        </w:rPr>
      </w:pPr>
      <w:r w:rsidRPr="005F7FED">
        <w:rPr>
          <w:rFonts w:ascii="Arial" w:hAnsi="Arial" w:cs="Arial"/>
          <w:color w:val="000000" w:themeColor="text1"/>
          <w:sz w:val="20"/>
          <w:szCs w:val="20"/>
          <w:u w:val="single"/>
        </w:rPr>
        <w:t>Sending a student home following an exclusion</w:t>
      </w:r>
    </w:p>
    <w:p w14:paraId="14B52B68" w14:textId="77777777" w:rsidR="00A04B6A" w:rsidRPr="005F7FED" w:rsidRDefault="003B0248" w:rsidP="005F7FED">
      <w:pPr>
        <w:shd w:val="clear" w:color="auto" w:fill="FFFFFF"/>
        <w:spacing w:after="0" w:line="360" w:lineRule="auto"/>
        <w:rPr>
          <w:rFonts w:ascii="Arial" w:eastAsia="Times New Roman" w:hAnsi="Arial" w:cs="Arial"/>
          <w:color w:val="000000" w:themeColor="text1"/>
          <w:sz w:val="20"/>
          <w:szCs w:val="20"/>
          <w:lang w:eastAsia="en-GB"/>
        </w:rPr>
      </w:pPr>
      <w:r w:rsidRPr="005F7FED">
        <w:rPr>
          <w:rFonts w:ascii="Arial" w:eastAsia="Times New Roman" w:hAnsi="Arial" w:cs="Arial"/>
          <w:color w:val="000000" w:themeColor="text1"/>
          <w:sz w:val="20"/>
          <w:szCs w:val="20"/>
          <w:lang w:eastAsia="en-GB"/>
        </w:rPr>
        <w:t xml:space="preserve">If it is not possible for a student to remain on site, parents must be contacted and asked to collect the student from school. If parents are unable to collect, they may provide verbal or written permission to send the student home independently. They </w:t>
      </w:r>
      <w:r w:rsidRPr="005F7FED">
        <w:rPr>
          <w:rFonts w:ascii="Arial" w:eastAsia="Times New Roman" w:hAnsi="Arial" w:cs="Arial"/>
          <w:b/>
          <w:color w:val="000000" w:themeColor="text1"/>
          <w:sz w:val="20"/>
          <w:szCs w:val="20"/>
          <w:lang w:eastAsia="en-GB"/>
        </w:rPr>
        <w:t xml:space="preserve">must </w:t>
      </w:r>
      <w:r w:rsidRPr="005F7FED">
        <w:rPr>
          <w:rFonts w:ascii="Arial" w:eastAsia="Times New Roman" w:hAnsi="Arial" w:cs="Arial"/>
          <w:color w:val="000000" w:themeColor="text1"/>
          <w:sz w:val="20"/>
          <w:szCs w:val="20"/>
          <w:lang w:eastAsia="en-GB"/>
        </w:rPr>
        <w:t xml:space="preserve">confirm that there will be an adult present at home to supervise the student. </w:t>
      </w:r>
    </w:p>
    <w:p w14:paraId="054EFC6B" w14:textId="77777777" w:rsidR="00A04B6A" w:rsidRPr="005F7FED" w:rsidRDefault="00A04B6A" w:rsidP="005F7FED">
      <w:pPr>
        <w:shd w:val="clear" w:color="auto" w:fill="FFFFFF"/>
        <w:spacing w:after="0" w:line="360" w:lineRule="auto"/>
        <w:rPr>
          <w:rFonts w:ascii="Arial" w:eastAsia="Times New Roman" w:hAnsi="Arial" w:cs="Arial"/>
          <w:color w:val="000000" w:themeColor="text1"/>
          <w:sz w:val="20"/>
          <w:szCs w:val="20"/>
          <w:lang w:eastAsia="en-GB"/>
        </w:rPr>
      </w:pPr>
    </w:p>
    <w:p w14:paraId="42363ADC" w14:textId="77777777" w:rsidR="00A04B6A" w:rsidRPr="005F7FED" w:rsidRDefault="003B0248" w:rsidP="005F7FED">
      <w:pPr>
        <w:shd w:val="clear" w:color="auto" w:fill="FFFFFF"/>
        <w:spacing w:after="0" w:line="360" w:lineRule="auto"/>
        <w:rPr>
          <w:rFonts w:ascii="Arial" w:eastAsia="Times New Roman" w:hAnsi="Arial" w:cs="Arial"/>
          <w:color w:val="000000" w:themeColor="text1"/>
          <w:sz w:val="20"/>
          <w:szCs w:val="20"/>
          <w:lang w:eastAsia="en-GB"/>
        </w:rPr>
      </w:pPr>
      <w:r w:rsidRPr="005F7FED">
        <w:rPr>
          <w:rFonts w:ascii="Arial" w:eastAsia="Times New Roman" w:hAnsi="Arial" w:cs="Arial"/>
          <w:color w:val="000000" w:themeColor="text1"/>
          <w:sz w:val="20"/>
          <w:szCs w:val="20"/>
          <w:lang w:eastAsia="en-GB"/>
        </w:rPr>
        <w:t xml:space="preserve">Parents </w:t>
      </w:r>
      <w:proofErr w:type="gramStart"/>
      <w:r w:rsidRPr="005F7FED">
        <w:rPr>
          <w:rFonts w:ascii="Arial" w:eastAsia="Times New Roman" w:hAnsi="Arial" w:cs="Arial"/>
          <w:color w:val="000000" w:themeColor="text1"/>
          <w:sz w:val="20"/>
          <w:szCs w:val="20"/>
          <w:lang w:eastAsia="en-GB"/>
        </w:rPr>
        <w:t>are able to</w:t>
      </w:r>
      <w:proofErr w:type="gramEnd"/>
      <w:r w:rsidRPr="005F7FED">
        <w:rPr>
          <w:rFonts w:ascii="Arial" w:eastAsia="Times New Roman" w:hAnsi="Arial" w:cs="Arial"/>
          <w:color w:val="000000" w:themeColor="text1"/>
          <w:sz w:val="20"/>
          <w:szCs w:val="20"/>
          <w:lang w:eastAsia="en-GB"/>
        </w:rPr>
        <w:t xml:space="preserve"> give permission for the student to travel home alone as long as the student usually travels home alone as part of a prior agreement with the school. Parents </w:t>
      </w:r>
      <w:r w:rsidRPr="005F7FED">
        <w:rPr>
          <w:rFonts w:ascii="Arial" w:eastAsia="Times New Roman" w:hAnsi="Arial" w:cs="Arial"/>
          <w:b/>
          <w:color w:val="000000" w:themeColor="text1"/>
          <w:sz w:val="20"/>
          <w:szCs w:val="20"/>
          <w:lang w:eastAsia="en-GB"/>
        </w:rPr>
        <w:t>must</w:t>
      </w:r>
      <w:r w:rsidRPr="005F7FED">
        <w:rPr>
          <w:rFonts w:ascii="Arial" w:eastAsia="Times New Roman" w:hAnsi="Arial" w:cs="Arial"/>
          <w:color w:val="000000" w:themeColor="text1"/>
          <w:sz w:val="20"/>
          <w:szCs w:val="20"/>
          <w:lang w:eastAsia="en-GB"/>
        </w:rPr>
        <w:t xml:space="preserve"> still confirm that there will be an adult present at home. </w:t>
      </w:r>
    </w:p>
    <w:p w14:paraId="357CE749" w14:textId="77777777" w:rsidR="00A04B6A" w:rsidRPr="005F7FED" w:rsidRDefault="00A04B6A" w:rsidP="005F7FED">
      <w:pPr>
        <w:shd w:val="clear" w:color="auto" w:fill="FFFFFF"/>
        <w:spacing w:after="0" w:line="360" w:lineRule="auto"/>
        <w:rPr>
          <w:rFonts w:ascii="Arial" w:eastAsia="Times New Roman" w:hAnsi="Arial" w:cs="Arial"/>
          <w:color w:val="000000" w:themeColor="text1"/>
          <w:sz w:val="20"/>
          <w:szCs w:val="20"/>
          <w:lang w:eastAsia="en-GB"/>
        </w:rPr>
      </w:pPr>
    </w:p>
    <w:p w14:paraId="13C19B70" w14:textId="77777777" w:rsidR="00A04B6A" w:rsidRPr="005F7FED" w:rsidRDefault="003B0248" w:rsidP="005F7FED">
      <w:pPr>
        <w:spacing w:after="0" w:line="360" w:lineRule="auto"/>
        <w:rPr>
          <w:rFonts w:ascii="Arial" w:hAnsi="Arial" w:cs="Arial"/>
          <w:color w:val="000000" w:themeColor="text1"/>
          <w:sz w:val="20"/>
          <w:szCs w:val="20"/>
          <w:u w:val="single"/>
        </w:rPr>
      </w:pPr>
      <w:r w:rsidRPr="005F7FED">
        <w:rPr>
          <w:rFonts w:ascii="Arial" w:hAnsi="Arial" w:cs="Arial"/>
          <w:color w:val="000000" w:themeColor="text1"/>
          <w:sz w:val="20"/>
          <w:szCs w:val="20"/>
          <w:u w:val="single"/>
        </w:rPr>
        <w:t>Students’ right to education</w:t>
      </w:r>
    </w:p>
    <w:p w14:paraId="0574C8D8"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Our students’ right to education is protected by the European Convention on Human Rights (Article 2, Protocol 1). Therefore, a student may </w:t>
      </w:r>
      <w:r w:rsidRPr="005F7FED">
        <w:rPr>
          <w:rFonts w:ascii="Arial" w:hAnsi="Arial" w:cs="Arial"/>
          <w:b/>
          <w:bCs/>
          <w:color w:val="000000" w:themeColor="text1"/>
          <w:sz w:val="20"/>
          <w:szCs w:val="20"/>
        </w:rPr>
        <w:t xml:space="preserve">only </w:t>
      </w:r>
      <w:r w:rsidRPr="005F7FED">
        <w:rPr>
          <w:rFonts w:ascii="Arial" w:hAnsi="Arial" w:cs="Arial"/>
          <w:color w:val="000000" w:themeColor="text1"/>
          <w:sz w:val="20"/>
          <w:szCs w:val="20"/>
        </w:rPr>
        <w:t>have this right removed (</w:t>
      </w:r>
      <w:proofErr w:type="gramStart"/>
      <w:r w:rsidRPr="005F7FED">
        <w:rPr>
          <w:rFonts w:ascii="Arial" w:hAnsi="Arial" w:cs="Arial"/>
          <w:color w:val="000000" w:themeColor="text1"/>
          <w:sz w:val="20"/>
          <w:szCs w:val="20"/>
        </w:rPr>
        <w:t>i.e.</w:t>
      </w:r>
      <w:proofErr w:type="gramEnd"/>
      <w:r w:rsidRPr="005F7FED">
        <w:rPr>
          <w:rFonts w:ascii="Arial" w:hAnsi="Arial" w:cs="Arial"/>
          <w:color w:val="000000" w:themeColor="text1"/>
          <w:sz w:val="20"/>
          <w:szCs w:val="20"/>
        </w:rPr>
        <w:t xml:space="preserve"> sent home from school) through the suspension process as set out in this protocol. </w:t>
      </w:r>
    </w:p>
    <w:p w14:paraId="6C49BFF0" w14:textId="77777777" w:rsidR="00A04B6A" w:rsidRPr="005F7FED" w:rsidRDefault="00A04B6A" w:rsidP="005F7FED">
      <w:pPr>
        <w:spacing w:after="0" w:line="360" w:lineRule="auto"/>
        <w:rPr>
          <w:rFonts w:ascii="Arial" w:hAnsi="Arial" w:cs="Arial"/>
          <w:color w:val="000000" w:themeColor="text1"/>
          <w:sz w:val="20"/>
          <w:szCs w:val="20"/>
        </w:rPr>
      </w:pPr>
    </w:p>
    <w:p w14:paraId="6455403D"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In the event of a suspension, the attendance code ‘E’ </w:t>
      </w:r>
      <w:r w:rsidRPr="005F7FED">
        <w:rPr>
          <w:rFonts w:ascii="Arial" w:hAnsi="Arial" w:cs="Arial"/>
          <w:b/>
          <w:bCs/>
          <w:color w:val="000000" w:themeColor="text1"/>
          <w:sz w:val="20"/>
          <w:szCs w:val="20"/>
        </w:rPr>
        <w:t xml:space="preserve">must </w:t>
      </w:r>
      <w:r w:rsidRPr="005F7FED">
        <w:rPr>
          <w:rFonts w:ascii="Arial" w:hAnsi="Arial" w:cs="Arial"/>
          <w:color w:val="000000" w:themeColor="text1"/>
          <w:sz w:val="20"/>
          <w:szCs w:val="20"/>
        </w:rPr>
        <w:t xml:space="preserve">be used for all sessions for which the student has been suspended. If a suspension occurs </w:t>
      </w:r>
      <w:r w:rsidRPr="005F7FED">
        <w:rPr>
          <w:rFonts w:ascii="Arial" w:hAnsi="Arial" w:cs="Arial"/>
          <w:i/>
          <w:iCs/>
          <w:color w:val="000000" w:themeColor="text1"/>
          <w:sz w:val="20"/>
          <w:szCs w:val="20"/>
        </w:rPr>
        <w:t>before</w:t>
      </w:r>
      <w:r w:rsidRPr="005F7FED">
        <w:rPr>
          <w:rFonts w:ascii="Arial" w:hAnsi="Arial" w:cs="Arial"/>
          <w:color w:val="000000" w:themeColor="text1"/>
          <w:sz w:val="20"/>
          <w:szCs w:val="20"/>
        </w:rPr>
        <w:t xml:space="preserve"> afternoon registration is closed, a </w:t>
      </w:r>
      <w:r w:rsidRPr="005F7FED">
        <w:rPr>
          <w:rFonts w:ascii="Arial" w:hAnsi="Arial" w:cs="Arial"/>
          <w:b/>
          <w:bCs/>
          <w:color w:val="000000" w:themeColor="text1"/>
          <w:sz w:val="20"/>
          <w:szCs w:val="20"/>
        </w:rPr>
        <w:t>half day</w:t>
      </w:r>
      <w:r w:rsidRPr="005F7FED">
        <w:rPr>
          <w:rFonts w:ascii="Arial" w:hAnsi="Arial" w:cs="Arial"/>
          <w:color w:val="000000" w:themeColor="text1"/>
          <w:sz w:val="20"/>
          <w:szCs w:val="20"/>
        </w:rPr>
        <w:t xml:space="preserve"> suspension may be </w:t>
      </w:r>
      <w:proofErr w:type="gramStart"/>
      <w:r w:rsidRPr="005F7FED">
        <w:rPr>
          <w:rFonts w:ascii="Arial" w:hAnsi="Arial" w:cs="Arial"/>
          <w:color w:val="000000" w:themeColor="text1"/>
          <w:sz w:val="20"/>
          <w:szCs w:val="20"/>
        </w:rPr>
        <w:t>issued</w:t>
      </w:r>
      <w:proofErr w:type="gramEnd"/>
      <w:r w:rsidRPr="005F7FED">
        <w:rPr>
          <w:rFonts w:ascii="Arial" w:hAnsi="Arial" w:cs="Arial"/>
          <w:color w:val="000000" w:themeColor="text1"/>
          <w:sz w:val="20"/>
          <w:szCs w:val="20"/>
        </w:rPr>
        <w:t xml:space="preserve"> and an ‘</w:t>
      </w:r>
      <w:r w:rsidRPr="005F7FED">
        <w:rPr>
          <w:rFonts w:ascii="Arial" w:hAnsi="Arial" w:cs="Arial"/>
          <w:b/>
          <w:bCs/>
          <w:color w:val="000000" w:themeColor="text1"/>
          <w:sz w:val="20"/>
          <w:szCs w:val="20"/>
        </w:rPr>
        <w:t>E</w:t>
      </w:r>
      <w:r w:rsidRPr="005F7FED">
        <w:rPr>
          <w:rFonts w:ascii="Arial" w:hAnsi="Arial" w:cs="Arial"/>
          <w:color w:val="000000" w:themeColor="text1"/>
          <w:sz w:val="20"/>
          <w:szCs w:val="20"/>
        </w:rPr>
        <w:t xml:space="preserve">’ code used to represent the suspension for the afternoon session. If a student has been suspended </w:t>
      </w:r>
      <w:r w:rsidRPr="005F7FED">
        <w:rPr>
          <w:rFonts w:ascii="Arial" w:hAnsi="Arial" w:cs="Arial"/>
          <w:i/>
          <w:iCs/>
          <w:color w:val="000000" w:themeColor="text1"/>
          <w:sz w:val="20"/>
          <w:szCs w:val="20"/>
        </w:rPr>
        <w:t>after</w:t>
      </w:r>
      <w:r w:rsidRPr="005F7FED">
        <w:rPr>
          <w:rFonts w:ascii="Arial" w:hAnsi="Arial" w:cs="Arial"/>
          <w:color w:val="000000" w:themeColor="text1"/>
          <w:sz w:val="20"/>
          <w:szCs w:val="20"/>
        </w:rPr>
        <w:t xml:space="preserve"> afternoon registration has been closed, a note must be placed on the register </w:t>
      </w:r>
      <w:r w:rsidRPr="005F7FED">
        <w:rPr>
          <w:rFonts w:ascii="Arial" w:hAnsi="Arial" w:cs="Arial"/>
          <w:color w:val="000000" w:themeColor="text1"/>
          <w:sz w:val="20"/>
          <w:szCs w:val="20"/>
        </w:rPr>
        <w:lastRenderedPageBreak/>
        <w:t xml:space="preserve">indicating the time the student has left site and a minimum of one full day suspension </w:t>
      </w:r>
      <w:r w:rsidRPr="005F7FED">
        <w:rPr>
          <w:rFonts w:ascii="Arial" w:hAnsi="Arial" w:cs="Arial"/>
          <w:b/>
          <w:bCs/>
          <w:color w:val="000000" w:themeColor="text1"/>
          <w:sz w:val="20"/>
          <w:szCs w:val="20"/>
        </w:rPr>
        <w:t>must start the following day</w:t>
      </w:r>
      <w:r w:rsidRPr="005F7FED">
        <w:rPr>
          <w:rFonts w:ascii="Arial" w:hAnsi="Arial" w:cs="Arial"/>
          <w:color w:val="000000" w:themeColor="text1"/>
          <w:sz w:val="20"/>
          <w:szCs w:val="20"/>
        </w:rPr>
        <w:t xml:space="preserve"> using the ‘</w:t>
      </w:r>
      <w:r w:rsidRPr="005F7FED">
        <w:rPr>
          <w:rFonts w:ascii="Arial" w:hAnsi="Arial" w:cs="Arial"/>
          <w:b/>
          <w:bCs/>
          <w:color w:val="000000" w:themeColor="text1"/>
          <w:sz w:val="20"/>
          <w:szCs w:val="20"/>
        </w:rPr>
        <w:t>E’</w:t>
      </w:r>
      <w:r w:rsidRPr="005F7FED">
        <w:rPr>
          <w:rFonts w:ascii="Arial" w:hAnsi="Arial" w:cs="Arial"/>
          <w:color w:val="000000" w:themeColor="text1"/>
          <w:sz w:val="20"/>
          <w:szCs w:val="20"/>
        </w:rPr>
        <w:t xml:space="preserve"> code. </w:t>
      </w:r>
    </w:p>
    <w:p w14:paraId="358E4D49" w14:textId="77777777" w:rsidR="00A04B6A" w:rsidRPr="005F7FED" w:rsidRDefault="00A04B6A" w:rsidP="005F7FED">
      <w:pPr>
        <w:spacing w:after="0" w:line="360" w:lineRule="auto"/>
        <w:rPr>
          <w:rFonts w:ascii="Arial" w:hAnsi="Arial" w:cs="Arial"/>
          <w:color w:val="000000" w:themeColor="text1"/>
          <w:sz w:val="20"/>
          <w:szCs w:val="20"/>
        </w:rPr>
      </w:pPr>
    </w:p>
    <w:p w14:paraId="2F37BD4A"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In addition, during this period schools should take reasonable steps to set and mark work during the period of the suspension. </w:t>
      </w:r>
    </w:p>
    <w:p w14:paraId="08659C93" w14:textId="77777777" w:rsidR="00A04B6A" w:rsidRPr="005F7FED" w:rsidRDefault="00A04B6A" w:rsidP="005F7FED">
      <w:pPr>
        <w:spacing w:after="0" w:line="360" w:lineRule="auto"/>
        <w:rPr>
          <w:rFonts w:ascii="Arial" w:hAnsi="Arial" w:cs="Arial"/>
          <w:color w:val="000000" w:themeColor="text1"/>
          <w:sz w:val="20"/>
          <w:szCs w:val="20"/>
        </w:rPr>
      </w:pPr>
    </w:p>
    <w:p w14:paraId="3D345AF7" w14:textId="77777777" w:rsidR="00A04B6A" w:rsidRPr="005F7FED" w:rsidRDefault="003B0248" w:rsidP="005F7FED">
      <w:pPr>
        <w:spacing w:after="0" w:line="360" w:lineRule="auto"/>
        <w:rPr>
          <w:rFonts w:ascii="Arial" w:hAnsi="Arial" w:cs="Arial"/>
          <w:color w:val="000000" w:themeColor="text1"/>
          <w:sz w:val="20"/>
          <w:szCs w:val="20"/>
          <w:shd w:val="clear" w:color="auto" w:fill="FFFFFF"/>
        </w:rPr>
      </w:pPr>
      <w:r w:rsidRPr="005F7FED">
        <w:rPr>
          <w:rFonts w:ascii="Arial" w:hAnsi="Arial" w:cs="Arial"/>
          <w:color w:val="000000" w:themeColor="text1"/>
          <w:sz w:val="20"/>
          <w:szCs w:val="20"/>
          <w:shd w:val="clear" w:color="auto" w:fill="FFFFFF"/>
        </w:rPr>
        <w:t>Our school is aware that off-rolling is unlawful. Ofsted defines off-rolling as:</w:t>
      </w:r>
    </w:p>
    <w:p w14:paraId="1C928BFA" w14:textId="77777777" w:rsidR="00A04B6A" w:rsidRPr="005F7FED" w:rsidRDefault="00A04B6A" w:rsidP="005F7FED">
      <w:pPr>
        <w:spacing w:after="0" w:line="360" w:lineRule="auto"/>
        <w:rPr>
          <w:rFonts w:ascii="Arial" w:hAnsi="Arial" w:cs="Arial"/>
          <w:color w:val="000000" w:themeColor="text1"/>
          <w:sz w:val="20"/>
          <w:szCs w:val="20"/>
          <w:shd w:val="clear" w:color="auto" w:fill="FFFFFF"/>
        </w:rPr>
      </w:pPr>
    </w:p>
    <w:p w14:paraId="3D10ABEB" w14:textId="77777777" w:rsidR="00A04B6A" w:rsidRPr="005F7FED" w:rsidRDefault="003B0248" w:rsidP="005F7FED">
      <w:pPr>
        <w:spacing w:after="0" w:line="360" w:lineRule="auto"/>
        <w:ind w:left="720" w:right="720"/>
        <w:rPr>
          <w:rFonts w:ascii="Arial" w:hAnsi="Arial" w:cs="Arial"/>
          <w:color w:val="000000" w:themeColor="text1"/>
          <w:sz w:val="20"/>
          <w:szCs w:val="20"/>
          <w:shd w:val="clear" w:color="auto" w:fill="FFFFFF"/>
        </w:rPr>
      </w:pPr>
      <w:r w:rsidRPr="005F7FED">
        <w:rPr>
          <w:rFonts w:ascii="Arial" w:hAnsi="Arial" w:cs="Arial"/>
          <w:color w:val="000000" w:themeColor="text1"/>
          <w:sz w:val="20"/>
          <w:szCs w:val="20"/>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43A035C1" w14:textId="77777777" w:rsidR="00A04B6A" w:rsidRPr="005F7FED" w:rsidRDefault="00A04B6A" w:rsidP="005F7FED">
      <w:pPr>
        <w:spacing w:after="0" w:line="360" w:lineRule="auto"/>
        <w:ind w:left="720" w:right="720"/>
        <w:rPr>
          <w:rFonts w:ascii="Arial" w:hAnsi="Arial" w:cs="Arial"/>
          <w:color w:val="000000" w:themeColor="text1"/>
          <w:sz w:val="20"/>
          <w:szCs w:val="20"/>
          <w:shd w:val="clear" w:color="auto" w:fill="FFFFFF"/>
        </w:rPr>
      </w:pPr>
    </w:p>
    <w:p w14:paraId="743B0FB7" w14:textId="77777777" w:rsidR="00A04B6A" w:rsidRPr="005F7FED" w:rsidRDefault="003B0248" w:rsidP="005F7FED">
      <w:pPr>
        <w:spacing w:after="0" w:line="360" w:lineRule="auto"/>
        <w:rPr>
          <w:rFonts w:ascii="Arial" w:hAnsi="Arial" w:cs="Arial"/>
          <w:color w:val="000000" w:themeColor="text1"/>
          <w:sz w:val="20"/>
          <w:szCs w:val="20"/>
          <w:shd w:val="clear" w:color="auto" w:fill="FFFFFF"/>
        </w:rPr>
      </w:pPr>
      <w:r w:rsidRPr="005F7FED">
        <w:rPr>
          <w:rFonts w:ascii="Arial" w:hAnsi="Arial" w:cs="Arial"/>
          <w:color w:val="000000" w:themeColor="text1"/>
          <w:sz w:val="20"/>
          <w:szCs w:val="20"/>
          <w:shd w:val="clear" w:color="auto" w:fill="FFFFFF"/>
        </w:rPr>
        <w:t>We are committed to following all statutory exclusions procedures to ensure that every child receives an education in a safe and caring environment.</w:t>
      </w:r>
    </w:p>
    <w:p w14:paraId="18D6E12F" w14:textId="77777777" w:rsidR="00A04B6A" w:rsidRPr="005F7FED" w:rsidRDefault="00A04B6A" w:rsidP="005F7FED">
      <w:pPr>
        <w:spacing w:after="0" w:line="360" w:lineRule="auto"/>
        <w:rPr>
          <w:rFonts w:ascii="Arial" w:hAnsi="Arial" w:cs="Arial"/>
          <w:color w:val="000000" w:themeColor="text1"/>
          <w:sz w:val="20"/>
          <w:szCs w:val="20"/>
        </w:rPr>
      </w:pPr>
    </w:p>
    <w:p w14:paraId="65C285F5" w14:textId="654E2B08" w:rsidR="00A04B6A" w:rsidRPr="00A865D3" w:rsidRDefault="003B0248" w:rsidP="00A865D3">
      <w:pPr>
        <w:pStyle w:val="Heading1"/>
        <w:spacing w:before="0" w:line="360" w:lineRule="auto"/>
        <w:rPr>
          <w:rFonts w:ascii="Arial" w:hAnsi="Arial" w:cs="Arial"/>
          <w:b/>
          <w:bCs/>
          <w:color w:val="000000" w:themeColor="text1"/>
          <w:sz w:val="20"/>
          <w:szCs w:val="20"/>
        </w:rPr>
      </w:pPr>
      <w:bookmarkStart w:id="5" w:name="_Toc87532565"/>
      <w:bookmarkStart w:id="6" w:name="_Toc87533040"/>
      <w:r w:rsidRPr="005F7FED">
        <w:rPr>
          <w:rFonts w:ascii="Arial" w:hAnsi="Arial" w:cs="Arial"/>
          <w:b/>
          <w:bCs/>
          <w:color w:val="000000" w:themeColor="text1"/>
          <w:sz w:val="20"/>
          <w:szCs w:val="20"/>
        </w:rPr>
        <w:t>7. Returning from a suspension</w:t>
      </w:r>
      <w:bookmarkEnd w:id="5"/>
      <w:bookmarkEnd w:id="6"/>
    </w:p>
    <w:p w14:paraId="7299FFF6" w14:textId="5B30244A"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MS</w:t>
      </w:r>
      <w:r w:rsidR="00A865D3">
        <w:rPr>
          <w:rFonts w:ascii="Arial" w:hAnsi="Arial" w:cs="Arial"/>
          <w:color w:val="000000" w:themeColor="text1"/>
          <w:sz w:val="20"/>
          <w:szCs w:val="20"/>
        </w:rPr>
        <w:t>E</w:t>
      </w:r>
      <w:r w:rsidRPr="005F7FED">
        <w:rPr>
          <w:rFonts w:ascii="Arial" w:hAnsi="Arial" w:cs="Arial"/>
          <w:color w:val="000000" w:themeColor="text1"/>
          <w:sz w:val="20"/>
          <w:szCs w:val="20"/>
        </w:rPr>
        <w:t xml:space="preserve"> seeks to employ a restorative approach to resolving conflict and preventing harm. Restorative practice focuses on building positive relationships based on responsibility, respect, fairness, and an understanding of the impact of your own behaviour on others.</w:t>
      </w:r>
    </w:p>
    <w:p w14:paraId="18FD7928" w14:textId="77777777" w:rsidR="00A04B6A" w:rsidRPr="005F7FED" w:rsidRDefault="00A04B6A" w:rsidP="005F7FED">
      <w:pPr>
        <w:spacing w:after="0" w:line="360" w:lineRule="auto"/>
        <w:rPr>
          <w:rFonts w:ascii="Arial" w:hAnsi="Arial" w:cs="Arial"/>
          <w:color w:val="000000" w:themeColor="text1"/>
          <w:sz w:val="20"/>
          <w:szCs w:val="20"/>
        </w:rPr>
      </w:pPr>
    </w:p>
    <w:p w14:paraId="4F1D9F83"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Our reintegration process provides students with structured and skilled adult mediated opportunities to explore how parties involved in an incident relate to each other and how they can find positive ways of repairing harm caused, rather than focusing solely on punishing poor behaviour or individuals avoiding taking responsibility for their actions. Students and adults are encouraged to put things right together. </w:t>
      </w:r>
    </w:p>
    <w:p w14:paraId="3E7D5655" w14:textId="77777777" w:rsidR="00A04B6A" w:rsidRPr="005F7FED" w:rsidRDefault="00A04B6A" w:rsidP="005F7FED">
      <w:pPr>
        <w:spacing w:after="0" w:line="360" w:lineRule="auto"/>
        <w:rPr>
          <w:rFonts w:ascii="Arial" w:hAnsi="Arial" w:cs="Arial"/>
          <w:color w:val="000000" w:themeColor="text1"/>
          <w:sz w:val="20"/>
          <w:szCs w:val="20"/>
        </w:rPr>
      </w:pPr>
    </w:p>
    <w:p w14:paraId="6965CA60" w14:textId="6C5B926B"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Following a suspension, a re-integration meeting will be held involving the student, parents, and either the </w:t>
      </w:r>
      <w:r w:rsidR="00A865D3">
        <w:rPr>
          <w:rFonts w:ascii="Arial" w:hAnsi="Arial" w:cs="Arial"/>
          <w:color w:val="000000" w:themeColor="text1"/>
          <w:sz w:val="20"/>
          <w:szCs w:val="20"/>
        </w:rPr>
        <w:t>learning centre manager</w:t>
      </w:r>
      <w:r w:rsidRPr="005F7FED">
        <w:rPr>
          <w:rFonts w:ascii="Arial" w:hAnsi="Arial" w:cs="Arial"/>
          <w:color w:val="000000" w:themeColor="text1"/>
          <w:sz w:val="20"/>
          <w:szCs w:val="20"/>
        </w:rPr>
        <w:t xml:space="preserve"> or a member of the </w:t>
      </w:r>
      <w:r w:rsidR="00A865D3">
        <w:rPr>
          <w:rFonts w:ascii="Arial" w:hAnsi="Arial" w:cs="Arial"/>
          <w:color w:val="000000" w:themeColor="text1"/>
          <w:sz w:val="20"/>
          <w:szCs w:val="20"/>
        </w:rPr>
        <w:t>senior leadership team</w:t>
      </w:r>
      <w:r w:rsidRPr="005F7FED">
        <w:rPr>
          <w:rFonts w:ascii="Arial" w:hAnsi="Arial" w:cs="Arial"/>
          <w:color w:val="000000" w:themeColor="text1"/>
          <w:sz w:val="20"/>
          <w:szCs w:val="20"/>
        </w:rPr>
        <w:t xml:space="preserve"> during which the following questions are discussed:</w:t>
      </w:r>
    </w:p>
    <w:p w14:paraId="0111BA5E" w14:textId="77777777" w:rsidR="00A04B6A" w:rsidRPr="005F7FED" w:rsidRDefault="00A04B6A" w:rsidP="005F7FED">
      <w:pPr>
        <w:spacing w:after="0" w:line="360" w:lineRule="auto"/>
        <w:rPr>
          <w:rFonts w:ascii="Arial" w:hAnsi="Arial" w:cs="Arial"/>
          <w:color w:val="000000" w:themeColor="text1"/>
          <w:sz w:val="20"/>
          <w:szCs w:val="20"/>
        </w:rPr>
      </w:pPr>
    </w:p>
    <w:p w14:paraId="2027546F" w14:textId="77777777" w:rsidR="00A04B6A" w:rsidRPr="005F7FED" w:rsidRDefault="003B0248" w:rsidP="005F7FED">
      <w:pPr>
        <w:pStyle w:val="ListParagraph"/>
        <w:numPr>
          <w:ilvl w:val="0"/>
          <w:numId w:val="14"/>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 xml:space="preserve">What happened? </w:t>
      </w:r>
    </w:p>
    <w:p w14:paraId="1FDEE737" w14:textId="77777777" w:rsidR="00A04B6A" w:rsidRPr="005F7FED" w:rsidRDefault="003B0248" w:rsidP="005F7FED">
      <w:pPr>
        <w:pStyle w:val="ListParagraph"/>
        <w:numPr>
          <w:ilvl w:val="0"/>
          <w:numId w:val="14"/>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 xml:space="preserve">What do you think and feel about that? </w:t>
      </w:r>
    </w:p>
    <w:p w14:paraId="4558F37F" w14:textId="77777777" w:rsidR="00A04B6A" w:rsidRPr="005F7FED" w:rsidRDefault="003B0248" w:rsidP="005F7FED">
      <w:pPr>
        <w:pStyle w:val="ListParagraph"/>
        <w:numPr>
          <w:ilvl w:val="0"/>
          <w:numId w:val="14"/>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 xml:space="preserve">Who has been affected and how? </w:t>
      </w:r>
    </w:p>
    <w:p w14:paraId="00822E6A" w14:textId="77777777" w:rsidR="00A04B6A" w:rsidRPr="005F7FED" w:rsidRDefault="003B0248" w:rsidP="005F7FED">
      <w:pPr>
        <w:pStyle w:val="ListParagraph"/>
        <w:numPr>
          <w:ilvl w:val="0"/>
          <w:numId w:val="14"/>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 xml:space="preserve">What are the needs of those involved? </w:t>
      </w:r>
    </w:p>
    <w:p w14:paraId="1D3B3715" w14:textId="77777777" w:rsidR="00A04B6A" w:rsidRPr="005F7FED" w:rsidRDefault="003B0248" w:rsidP="005F7FED">
      <w:pPr>
        <w:pStyle w:val="ListParagraph"/>
        <w:numPr>
          <w:ilvl w:val="0"/>
          <w:numId w:val="14"/>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What do you think needs to happen next/to make things right with the other parties and with the school community?</w:t>
      </w:r>
    </w:p>
    <w:p w14:paraId="03BCD84E" w14:textId="77777777" w:rsidR="00A04B6A" w:rsidRPr="005F7FED" w:rsidRDefault="00A04B6A" w:rsidP="005F7FED">
      <w:pPr>
        <w:spacing w:after="0" w:line="360" w:lineRule="auto"/>
        <w:rPr>
          <w:rFonts w:ascii="Arial" w:hAnsi="Arial" w:cs="Arial"/>
          <w:color w:val="000000" w:themeColor="text1"/>
          <w:sz w:val="20"/>
          <w:szCs w:val="20"/>
        </w:rPr>
      </w:pPr>
    </w:p>
    <w:p w14:paraId="7EC2E5BC"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An agreement is reached between the student and school which identifies:</w:t>
      </w:r>
    </w:p>
    <w:p w14:paraId="15F46B1A" w14:textId="77777777" w:rsidR="00A04B6A" w:rsidRPr="005F7FED" w:rsidRDefault="003B0248" w:rsidP="005F7FED">
      <w:pPr>
        <w:pStyle w:val="ListParagraph"/>
        <w:numPr>
          <w:ilvl w:val="0"/>
          <w:numId w:val="20"/>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 xml:space="preserve">assessments required to explore potential underlying need and function of the </w:t>
      </w:r>
      <w:proofErr w:type="gramStart"/>
      <w:r w:rsidRPr="005F7FED">
        <w:rPr>
          <w:rFonts w:ascii="Arial" w:hAnsi="Arial" w:cs="Arial"/>
          <w:color w:val="000000" w:themeColor="text1"/>
          <w:sz w:val="20"/>
          <w:szCs w:val="20"/>
        </w:rPr>
        <w:t>behaviour;</w:t>
      </w:r>
      <w:proofErr w:type="gramEnd"/>
    </w:p>
    <w:p w14:paraId="5CBD81CF" w14:textId="77777777" w:rsidR="00A04B6A" w:rsidRPr="005F7FED" w:rsidRDefault="003B0248" w:rsidP="005F7FED">
      <w:pPr>
        <w:pStyle w:val="ListParagraph"/>
        <w:numPr>
          <w:ilvl w:val="0"/>
          <w:numId w:val="20"/>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lastRenderedPageBreak/>
        <w:t xml:space="preserve">independent strategies that the student can implement in order to prevent a recurrence of the </w:t>
      </w:r>
      <w:proofErr w:type="gramStart"/>
      <w:r w:rsidRPr="005F7FED">
        <w:rPr>
          <w:rFonts w:ascii="Arial" w:hAnsi="Arial" w:cs="Arial"/>
          <w:color w:val="000000" w:themeColor="text1"/>
          <w:sz w:val="20"/>
          <w:szCs w:val="20"/>
        </w:rPr>
        <w:t>behaviour;</w:t>
      </w:r>
      <w:proofErr w:type="gramEnd"/>
    </w:p>
    <w:p w14:paraId="6D29D955" w14:textId="77777777" w:rsidR="00A04B6A" w:rsidRPr="005F7FED" w:rsidRDefault="003B0248" w:rsidP="005F7FED">
      <w:pPr>
        <w:pStyle w:val="ListParagraph"/>
        <w:numPr>
          <w:ilvl w:val="0"/>
          <w:numId w:val="20"/>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 xml:space="preserve">support and intervention that the school will put in place in order to prevent a recurrence of the </w:t>
      </w:r>
      <w:proofErr w:type="gramStart"/>
      <w:r w:rsidRPr="005F7FED">
        <w:rPr>
          <w:rFonts w:ascii="Arial" w:hAnsi="Arial" w:cs="Arial"/>
          <w:color w:val="000000" w:themeColor="text1"/>
          <w:sz w:val="20"/>
          <w:szCs w:val="20"/>
        </w:rPr>
        <w:t>behaviour;</w:t>
      </w:r>
      <w:proofErr w:type="gramEnd"/>
    </w:p>
    <w:p w14:paraId="79838ABC" w14:textId="77777777" w:rsidR="00A04B6A" w:rsidRPr="005F7FED" w:rsidRDefault="003B0248" w:rsidP="005F7FED">
      <w:pPr>
        <w:pStyle w:val="ListParagraph"/>
        <w:numPr>
          <w:ilvl w:val="0"/>
          <w:numId w:val="20"/>
        </w:numPr>
        <w:spacing w:after="0" w:line="360" w:lineRule="auto"/>
        <w:ind w:left="426" w:hanging="284"/>
        <w:rPr>
          <w:rFonts w:ascii="Arial" w:hAnsi="Arial" w:cs="Arial"/>
          <w:color w:val="000000" w:themeColor="text1"/>
          <w:sz w:val="20"/>
          <w:szCs w:val="20"/>
        </w:rPr>
      </w:pPr>
      <w:r w:rsidRPr="005F7FED">
        <w:rPr>
          <w:rFonts w:ascii="Arial" w:hAnsi="Arial" w:cs="Arial"/>
          <w:color w:val="000000" w:themeColor="text1"/>
          <w:sz w:val="20"/>
          <w:szCs w:val="20"/>
        </w:rPr>
        <w:t xml:space="preserve">timescales and support required </w:t>
      </w:r>
      <w:proofErr w:type="gramStart"/>
      <w:r w:rsidRPr="005F7FED">
        <w:rPr>
          <w:rFonts w:ascii="Arial" w:hAnsi="Arial" w:cs="Arial"/>
          <w:color w:val="000000" w:themeColor="text1"/>
          <w:sz w:val="20"/>
          <w:szCs w:val="20"/>
        </w:rPr>
        <w:t>in order to</w:t>
      </w:r>
      <w:proofErr w:type="gramEnd"/>
      <w:r w:rsidRPr="005F7FED">
        <w:rPr>
          <w:rFonts w:ascii="Arial" w:hAnsi="Arial" w:cs="Arial"/>
          <w:color w:val="000000" w:themeColor="text1"/>
          <w:sz w:val="20"/>
          <w:szCs w:val="20"/>
        </w:rPr>
        <w:t xml:space="preserve"> facilitate a successful restorative post-incident process between all parties involved.</w:t>
      </w:r>
    </w:p>
    <w:p w14:paraId="466E4E0D" w14:textId="77777777" w:rsidR="00A04B6A" w:rsidRPr="005F7FED" w:rsidRDefault="00A04B6A" w:rsidP="005F7FED">
      <w:pPr>
        <w:pStyle w:val="1bodycopy10pt"/>
        <w:spacing w:after="0" w:line="360" w:lineRule="auto"/>
        <w:rPr>
          <w:rFonts w:cs="Arial"/>
          <w:color w:val="000000" w:themeColor="text1"/>
          <w:szCs w:val="20"/>
        </w:rPr>
      </w:pPr>
    </w:p>
    <w:p w14:paraId="0E4113E7" w14:textId="52E9B5D1" w:rsidR="00A04B6A" w:rsidRPr="00A865D3" w:rsidRDefault="003B0248" w:rsidP="00A865D3">
      <w:pPr>
        <w:pStyle w:val="Heading1"/>
        <w:spacing w:before="0" w:line="360" w:lineRule="auto"/>
        <w:rPr>
          <w:rFonts w:ascii="Arial" w:hAnsi="Arial" w:cs="Arial"/>
          <w:b/>
          <w:bCs/>
          <w:color w:val="000000" w:themeColor="text1"/>
          <w:sz w:val="20"/>
          <w:szCs w:val="20"/>
        </w:rPr>
      </w:pPr>
      <w:bookmarkStart w:id="7" w:name="_Toc87532566"/>
      <w:bookmarkStart w:id="8" w:name="_Toc87533041"/>
      <w:r w:rsidRPr="005F7FED">
        <w:rPr>
          <w:rFonts w:ascii="Arial" w:hAnsi="Arial" w:cs="Arial"/>
          <w:b/>
          <w:bCs/>
          <w:color w:val="000000" w:themeColor="text1"/>
          <w:sz w:val="20"/>
          <w:szCs w:val="20"/>
        </w:rPr>
        <w:t>8. Monitoring arrangements</w:t>
      </w:r>
      <w:bookmarkEnd w:id="7"/>
      <w:bookmarkEnd w:id="8"/>
    </w:p>
    <w:p w14:paraId="71A54CC6" w14:textId="757DB8BE" w:rsidR="00A04B6A" w:rsidRPr="005F7FED" w:rsidRDefault="003B0248" w:rsidP="005F7FED">
      <w:pPr>
        <w:pStyle w:val="1bodycopy10pt"/>
        <w:spacing w:after="0" w:line="360" w:lineRule="auto"/>
        <w:rPr>
          <w:rFonts w:cs="Arial"/>
          <w:color w:val="000000" w:themeColor="text1"/>
          <w:szCs w:val="20"/>
        </w:rPr>
      </w:pPr>
      <w:r w:rsidRPr="005F7FED">
        <w:rPr>
          <w:rFonts w:cs="Arial"/>
          <w:color w:val="000000" w:themeColor="text1"/>
          <w:szCs w:val="20"/>
        </w:rPr>
        <w:t xml:space="preserve">The </w:t>
      </w:r>
      <w:r w:rsidR="00504E96">
        <w:rPr>
          <w:rFonts w:cs="Arial"/>
          <w:color w:val="000000" w:themeColor="text1"/>
          <w:szCs w:val="20"/>
        </w:rPr>
        <w:t>designated SLT membe</w:t>
      </w:r>
      <w:r w:rsidRPr="005F7FED">
        <w:rPr>
          <w:rFonts w:cs="Arial"/>
          <w:color w:val="000000" w:themeColor="text1"/>
          <w:szCs w:val="20"/>
        </w:rPr>
        <w:t xml:space="preserve">r with responsibility for </w:t>
      </w:r>
      <w:proofErr w:type="spellStart"/>
      <w:r w:rsidRPr="005F7FED">
        <w:rPr>
          <w:rFonts w:cs="Arial"/>
          <w:color w:val="000000" w:themeColor="text1"/>
          <w:szCs w:val="20"/>
        </w:rPr>
        <w:t>Behaviour</w:t>
      </w:r>
      <w:proofErr w:type="spellEnd"/>
      <w:r w:rsidRPr="005F7FED">
        <w:rPr>
          <w:rFonts w:cs="Arial"/>
          <w:color w:val="000000" w:themeColor="text1"/>
          <w:szCs w:val="20"/>
        </w:rPr>
        <w:t xml:space="preserve"> monitors the number and type of suspensions every half term and reports directly to the Headteacher. </w:t>
      </w:r>
    </w:p>
    <w:p w14:paraId="6D7F292F" w14:textId="77777777" w:rsidR="00A04B6A" w:rsidRPr="005F7FED" w:rsidRDefault="00A04B6A" w:rsidP="005F7FED">
      <w:pPr>
        <w:pStyle w:val="1bodycopy10pt"/>
        <w:spacing w:after="0" w:line="360" w:lineRule="auto"/>
        <w:rPr>
          <w:rFonts w:cs="Arial"/>
          <w:color w:val="000000" w:themeColor="text1"/>
          <w:szCs w:val="20"/>
        </w:rPr>
      </w:pPr>
    </w:p>
    <w:p w14:paraId="425BE796" w14:textId="6704090E"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 xml:space="preserve">This policy will be reviewed by the Headteacher annually. At every review, the policy will be shared with the Executive Headteacher and the school’s Governing Board. </w:t>
      </w:r>
    </w:p>
    <w:p w14:paraId="007C842E" w14:textId="77777777" w:rsidR="00A04B6A" w:rsidRPr="005F7FED" w:rsidRDefault="00A04B6A" w:rsidP="005F7FED">
      <w:pPr>
        <w:spacing w:after="0" w:line="360" w:lineRule="auto"/>
        <w:rPr>
          <w:rFonts w:ascii="Arial" w:hAnsi="Arial" w:cs="Arial"/>
          <w:color w:val="000000" w:themeColor="text1"/>
          <w:sz w:val="20"/>
          <w:szCs w:val="20"/>
        </w:rPr>
      </w:pPr>
    </w:p>
    <w:p w14:paraId="21DAC311" w14:textId="41F42DC6" w:rsidR="00A04B6A" w:rsidRPr="00504E96" w:rsidRDefault="003B0248" w:rsidP="00504E96">
      <w:pPr>
        <w:pStyle w:val="Heading1"/>
        <w:spacing w:before="0" w:line="360" w:lineRule="auto"/>
        <w:rPr>
          <w:rFonts w:ascii="Arial" w:hAnsi="Arial" w:cs="Arial"/>
          <w:b/>
          <w:bCs/>
          <w:color w:val="000000" w:themeColor="text1"/>
          <w:sz w:val="20"/>
          <w:szCs w:val="20"/>
        </w:rPr>
      </w:pPr>
      <w:bookmarkStart w:id="9" w:name="_Toc87532567"/>
      <w:bookmarkStart w:id="10" w:name="_Toc87533042"/>
      <w:r w:rsidRPr="005F7FED">
        <w:rPr>
          <w:rFonts w:ascii="Arial" w:hAnsi="Arial" w:cs="Arial"/>
          <w:b/>
          <w:bCs/>
          <w:color w:val="000000" w:themeColor="text1"/>
          <w:sz w:val="20"/>
          <w:szCs w:val="20"/>
        </w:rPr>
        <w:t>9. Links with other policies</w:t>
      </w:r>
      <w:bookmarkEnd w:id="9"/>
      <w:bookmarkEnd w:id="10"/>
    </w:p>
    <w:p w14:paraId="607A1C6B" w14:textId="77777777" w:rsidR="00A04B6A" w:rsidRPr="005F7FED" w:rsidRDefault="003B0248" w:rsidP="005F7FED">
      <w:p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This Exclusions policy is linked to and should be read alongside the school’s:</w:t>
      </w:r>
    </w:p>
    <w:p w14:paraId="0D307A94" w14:textId="77777777" w:rsidR="00A04B6A" w:rsidRPr="005F7FED" w:rsidRDefault="003B0248" w:rsidP="005F7FED">
      <w:pPr>
        <w:numPr>
          <w:ilvl w:val="0"/>
          <w:numId w:val="13"/>
        </w:num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Behaviour and Communication policy.</w:t>
      </w:r>
    </w:p>
    <w:p w14:paraId="17DB447A" w14:textId="77777777" w:rsidR="00A04B6A" w:rsidRPr="005F7FED" w:rsidRDefault="003B0248" w:rsidP="005F7FED">
      <w:pPr>
        <w:numPr>
          <w:ilvl w:val="0"/>
          <w:numId w:val="13"/>
        </w:num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Attendance policy.</w:t>
      </w:r>
    </w:p>
    <w:p w14:paraId="51DEC573" w14:textId="77777777" w:rsidR="00A04B6A" w:rsidRPr="005F7FED" w:rsidRDefault="003B0248" w:rsidP="005F7FED">
      <w:pPr>
        <w:numPr>
          <w:ilvl w:val="0"/>
          <w:numId w:val="13"/>
        </w:num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Safeguarding and Child Protection policy.</w:t>
      </w:r>
    </w:p>
    <w:p w14:paraId="6A49B167" w14:textId="77777777" w:rsidR="00A04B6A" w:rsidRPr="005F7FED" w:rsidRDefault="003B0248" w:rsidP="005F7FED">
      <w:pPr>
        <w:numPr>
          <w:ilvl w:val="0"/>
          <w:numId w:val="13"/>
        </w:numPr>
        <w:spacing w:after="0" w:line="360" w:lineRule="auto"/>
        <w:rPr>
          <w:rFonts w:ascii="Arial" w:hAnsi="Arial" w:cs="Arial"/>
          <w:color w:val="000000" w:themeColor="text1"/>
          <w:sz w:val="20"/>
          <w:szCs w:val="20"/>
        </w:rPr>
      </w:pPr>
      <w:r w:rsidRPr="005F7FED">
        <w:rPr>
          <w:rFonts w:ascii="Arial" w:hAnsi="Arial" w:cs="Arial"/>
          <w:color w:val="000000" w:themeColor="text1"/>
          <w:sz w:val="20"/>
          <w:szCs w:val="20"/>
        </w:rPr>
        <w:t>SEND policy and information report.</w:t>
      </w:r>
    </w:p>
    <w:p w14:paraId="2827BA73" w14:textId="77777777" w:rsidR="00A04B6A" w:rsidRPr="005F7FED" w:rsidRDefault="00A04B6A" w:rsidP="005F7FED">
      <w:pPr>
        <w:spacing w:after="0" w:line="360" w:lineRule="auto"/>
        <w:rPr>
          <w:rFonts w:ascii="Arial" w:hAnsi="Arial" w:cs="Arial"/>
          <w:color w:val="000000" w:themeColor="text1"/>
          <w:sz w:val="20"/>
          <w:szCs w:val="20"/>
        </w:rPr>
      </w:pPr>
    </w:p>
    <w:p w14:paraId="17289530" w14:textId="77777777" w:rsidR="00A04B6A" w:rsidRPr="005F7FED" w:rsidRDefault="00A04B6A" w:rsidP="005F7FED">
      <w:pPr>
        <w:pStyle w:val="1bodycopy10pt"/>
        <w:spacing w:after="0" w:line="360" w:lineRule="auto"/>
        <w:rPr>
          <w:rFonts w:cs="Arial"/>
          <w:color w:val="000000" w:themeColor="text1"/>
          <w:szCs w:val="20"/>
        </w:rPr>
      </w:pPr>
    </w:p>
    <w:p w14:paraId="0AF009E3" w14:textId="77777777" w:rsidR="00A04B6A" w:rsidRPr="005F7FED" w:rsidRDefault="00A04B6A" w:rsidP="005F7FED">
      <w:pPr>
        <w:spacing w:after="0" w:line="360" w:lineRule="auto"/>
        <w:rPr>
          <w:rFonts w:ascii="Arial" w:hAnsi="Arial" w:cs="Arial"/>
          <w:color w:val="000000" w:themeColor="text1"/>
          <w:sz w:val="20"/>
          <w:szCs w:val="20"/>
        </w:rPr>
      </w:pPr>
    </w:p>
    <w:sectPr w:rsidR="00A04B6A" w:rsidRPr="005F7FED" w:rsidSect="005F7FED">
      <w:pgSz w:w="11906" w:h="16838"/>
      <w:pgMar w:top="1701" w:right="113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FCBA" w14:textId="77777777" w:rsidR="00A04B6A" w:rsidRDefault="003B0248">
      <w:pPr>
        <w:spacing w:after="0" w:line="240" w:lineRule="auto"/>
      </w:pPr>
      <w:r>
        <w:separator/>
      </w:r>
    </w:p>
  </w:endnote>
  <w:endnote w:type="continuationSeparator" w:id="0">
    <w:p w14:paraId="0849C00A" w14:textId="77777777" w:rsidR="00A04B6A" w:rsidRDefault="003B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691048"/>
      <w:docPartObj>
        <w:docPartGallery w:val="Page Numbers (Bottom of Page)"/>
        <w:docPartUnique/>
      </w:docPartObj>
    </w:sdtPr>
    <w:sdtContent>
      <w:sdt>
        <w:sdtPr>
          <w:id w:val="-1705238520"/>
          <w:docPartObj>
            <w:docPartGallery w:val="Page Numbers (Top of Page)"/>
            <w:docPartUnique/>
          </w:docPartObj>
        </w:sdtPr>
        <w:sdtContent>
          <w:p w14:paraId="6C08A2BB" w14:textId="56D5995D" w:rsidR="005F7FED" w:rsidRDefault="005F7FE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E02EE9" w14:textId="39AC2F54" w:rsidR="00A04B6A" w:rsidRDefault="00A04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283145"/>
      <w:docPartObj>
        <w:docPartGallery w:val="Page Numbers (Bottom of Page)"/>
        <w:docPartUnique/>
      </w:docPartObj>
    </w:sdtPr>
    <w:sdtContent>
      <w:sdt>
        <w:sdtPr>
          <w:id w:val="-1889101345"/>
          <w:docPartObj>
            <w:docPartGallery w:val="Page Numbers (Top of Page)"/>
            <w:docPartUnique/>
          </w:docPartObj>
        </w:sdtPr>
        <w:sdtContent>
          <w:p w14:paraId="315D8315" w14:textId="1804107E" w:rsidR="00737A24" w:rsidRDefault="00737A2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D758E" w14:textId="77777777" w:rsidR="00737A24" w:rsidRDefault="0073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C3EB" w14:textId="77777777" w:rsidR="00A04B6A" w:rsidRDefault="003B0248">
      <w:pPr>
        <w:spacing w:after="0" w:line="240" w:lineRule="auto"/>
      </w:pPr>
      <w:r>
        <w:separator/>
      </w:r>
    </w:p>
  </w:footnote>
  <w:footnote w:type="continuationSeparator" w:id="0">
    <w:p w14:paraId="2E24008D" w14:textId="77777777" w:rsidR="00A04B6A" w:rsidRDefault="003B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5" type="#_x0000_t75" style="width:208.2pt;height:332.4pt" o:bullet="t">
        <v:imagedata r:id="rId1" o:title="TK_LOGO_POINTER_RGB_bullet_blue"/>
      </v:shape>
    </w:pict>
  </w:numPicBullet>
  <w:abstractNum w:abstractNumId="0" w15:restartNumberingAfterBreak="0">
    <w:nsid w:val="00915D9A"/>
    <w:multiLevelType w:val="hybridMultilevel"/>
    <w:tmpl w:val="2D52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C0687"/>
    <w:multiLevelType w:val="hybridMultilevel"/>
    <w:tmpl w:val="1968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398A"/>
    <w:multiLevelType w:val="hybridMultilevel"/>
    <w:tmpl w:val="E3D85302"/>
    <w:lvl w:ilvl="0" w:tplc="E78C8E2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C10CD"/>
    <w:multiLevelType w:val="multilevel"/>
    <w:tmpl w:val="6C18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377F0"/>
    <w:multiLevelType w:val="hybridMultilevel"/>
    <w:tmpl w:val="1EE2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249E6"/>
    <w:multiLevelType w:val="hybridMultilevel"/>
    <w:tmpl w:val="707C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23B49"/>
    <w:multiLevelType w:val="hybridMultilevel"/>
    <w:tmpl w:val="3FBEE0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2CB600D"/>
    <w:multiLevelType w:val="hybridMultilevel"/>
    <w:tmpl w:val="4F500FA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381FC0"/>
    <w:multiLevelType w:val="hybridMultilevel"/>
    <w:tmpl w:val="823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E4146"/>
    <w:multiLevelType w:val="hybridMultilevel"/>
    <w:tmpl w:val="C66816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2601B80"/>
    <w:multiLevelType w:val="hybridMultilevel"/>
    <w:tmpl w:val="8146CD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8C57702"/>
    <w:multiLevelType w:val="hybridMultilevel"/>
    <w:tmpl w:val="BD2CD71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439466D"/>
    <w:multiLevelType w:val="hybridMultilevel"/>
    <w:tmpl w:val="28D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30E05"/>
    <w:multiLevelType w:val="hybridMultilevel"/>
    <w:tmpl w:val="3550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E1130"/>
    <w:multiLevelType w:val="hybridMultilevel"/>
    <w:tmpl w:val="05A6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E2781"/>
    <w:multiLevelType w:val="hybridMultilevel"/>
    <w:tmpl w:val="86FA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450C7"/>
    <w:multiLevelType w:val="hybridMultilevel"/>
    <w:tmpl w:val="638E9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CDE1A46"/>
    <w:multiLevelType w:val="hybridMultilevel"/>
    <w:tmpl w:val="6C5A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150410">
    <w:abstractNumId w:val="19"/>
  </w:num>
  <w:num w:numId="2" w16cid:durableId="1840776965">
    <w:abstractNumId w:val="0"/>
  </w:num>
  <w:num w:numId="3" w16cid:durableId="604388160">
    <w:abstractNumId w:val="12"/>
  </w:num>
  <w:num w:numId="4" w16cid:durableId="136146408">
    <w:abstractNumId w:val="7"/>
  </w:num>
  <w:num w:numId="5" w16cid:durableId="1044209845">
    <w:abstractNumId w:val="1"/>
  </w:num>
  <w:num w:numId="6" w16cid:durableId="67268618">
    <w:abstractNumId w:val="4"/>
  </w:num>
  <w:num w:numId="7" w16cid:durableId="2131631323">
    <w:abstractNumId w:val="14"/>
  </w:num>
  <w:num w:numId="8" w16cid:durableId="1632125496">
    <w:abstractNumId w:val="5"/>
  </w:num>
  <w:num w:numId="9" w16cid:durableId="620496796">
    <w:abstractNumId w:val="3"/>
  </w:num>
  <w:num w:numId="10" w16cid:durableId="209155382">
    <w:abstractNumId w:val="8"/>
  </w:num>
  <w:num w:numId="11" w16cid:durableId="33233018">
    <w:abstractNumId w:val="15"/>
  </w:num>
  <w:num w:numId="12" w16cid:durableId="1394352731">
    <w:abstractNumId w:val="18"/>
  </w:num>
  <w:num w:numId="13" w16cid:durableId="251164246">
    <w:abstractNumId w:val="13"/>
  </w:num>
  <w:num w:numId="14" w16cid:durableId="1143500815">
    <w:abstractNumId w:val="17"/>
  </w:num>
  <w:num w:numId="15" w16cid:durableId="1413815113">
    <w:abstractNumId w:val="2"/>
  </w:num>
  <w:num w:numId="16" w16cid:durableId="1444231050">
    <w:abstractNumId w:val="11"/>
  </w:num>
  <w:num w:numId="17" w16cid:durableId="2105956383">
    <w:abstractNumId w:val="10"/>
  </w:num>
  <w:num w:numId="18" w16cid:durableId="787966212">
    <w:abstractNumId w:val="9"/>
  </w:num>
  <w:num w:numId="19" w16cid:durableId="1366103646">
    <w:abstractNumId w:val="6"/>
  </w:num>
  <w:num w:numId="20" w16cid:durableId="563756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6A"/>
    <w:rsid w:val="000E7463"/>
    <w:rsid w:val="00281456"/>
    <w:rsid w:val="002A31D9"/>
    <w:rsid w:val="003B0248"/>
    <w:rsid w:val="00504E96"/>
    <w:rsid w:val="00566950"/>
    <w:rsid w:val="005F7FED"/>
    <w:rsid w:val="00737A24"/>
    <w:rsid w:val="00853F11"/>
    <w:rsid w:val="00914F36"/>
    <w:rsid w:val="00A04B6A"/>
    <w:rsid w:val="00A865D3"/>
    <w:rsid w:val="00D0328B"/>
    <w:rsid w:val="00E924C5"/>
    <w:rsid w:val="00E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E09B8"/>
  <w15:chartTrackingRefBased/>
  <w15:docId w15:val="{B37C9A65-5FB0-4F5E-B1F0-0A8523CA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pPr>
      <w:spacing w:after="100" w:line="240" w:lineRule="auto"/>
      <w:ind w:left="400"/>
    </w:pPr>
    <w:rPr>
      <w:rFonts w:ascii="Arial" w:eastAsia="MS Mincho" w:hAnsi="Arial" w:cs="Times New Roman"/>
      <w:sz w:val="20"/>
      <w:szCs w:val="24"/>
      <w:lang w:val="en-US"/>
    </w:rPr>
  </w:style>
  <w:style w:type="paragraph" w:customStyle="1" w:styleId="4Bulletedcopyblue">
    <w:name w:val="4 Bulleted copy blue"/>
    <w:basedOn w:val="Normal"/>
    <w:qFormat/>
    <w:pPr>
      <w:numPr>
        <w:numId w:val="12"/>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odyText3">
    <w:name w:val="Body Text 3"/>
    <w:basedOn w:val="Normal"/>
    <w:link w:val="BodyText3Char"/>
    <w:uiPriority w:val="99"/>
    <w:unhideWhenUsed/>
    <w:pPr>
      <w:spacing w:after="120" w:line="276" w:lineRule="auto"/>
    </w:pPr>
    <w:rPr>
      <w:sz w:val="16"/>
      <w:szCs w:val="16"/>
    </w:rPr>
  </w:style>
  <w:style w:type="character" w:customStyle="1" w:styleId="BodyText3Char">
    <w:name w:val="Body Text 3 Char"/>
    <w:basedOn w:val="DefaultParagraphFont"/>
    <w:link w:val="BodyText3"/>
    <w:uiPriority w:val="99"/>
    <w:rPr>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Caption1">
    <w:name w:val="Caption 1"/>
    <w:basedOn w:val="Normal"/>
    <w:qFormat/>
    <w:rsid w:val="00566950"/>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5332">
      <w:bodyDiv w:val="1"/>
      <w:marLeft w:val="0"/>
      <w:marRight w:val="0"/>
      <w:marTop w:val="0"/>
      <w:marBottom w:val="0"/>
      <w:divBdr>
        <w:top w:val="none" w:sz="0" w:space="0" w:color="auto"/>
        <w:left w:val="none" w:sz="0" w:space="0" w:color="auto"/>
        <w:bottom w:val="none" w:sz="0" w:space="0" w:color="auto"/>
        <w:right w:val="none" w:sz="0" w:space="0" w:color="auto"/>
      </w:divBdr>
    </w:div>
    <w:div w:id="521093018">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778790951">
      <w:bodyDiv w:val="1"/>
      <w:marLeft w:val="0"/>
      <w:marRight w:val="0"/>
      <w:marTop w:val="0"/>
      <w:marBottom w:val="0"/>
      <w:divBdr>
        <w:top w:val="none" w:sz="0" w:space="0" w:color="auto"/>
        <w:left w:val="none" w:sz="0" w:space="0" w:color="auto"/>
        <w:bottom w:val="none" w:sz="0" w:space="0" w:color="auto"/>
        <w:right w:val="none" w:sz="0" w:space="0" w:color="auto"/>
      </w:divBdr>
    </w:div>
    <w:div w:id="21224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chool-exclusion" TargetMode="External"/><Relationship Id="rId18" Type="http://schemas.openxmlformats.org/officeDocument/2006/relationships/hyperlink" Target="http://www.legislation.gov.uk/ukpga/1996/56/section/57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legislation.gov.uk/ukpga/2006/40/part/7/chapter/2" TargetMode="External"/><Relationship Id="rId2" Type="http://schemas.openxmlformats.org/officeDocument/2006/relationships/customXml" Target="../customXml/item2.xml"/><Relationship Id="rId16" Type="http://schemas.openxmlformats.org/officeDocument/2006/relationships/hyperlink" Target="http://www.legislation.gov.uk/uksi/2012/1033/made" TargetMode="External"/><Relationship Id="rId20" Type="http://schemas.openxmlformats.org/officeDocument/2006/relationships/hyperlink" Target="http://www.legislation.gov.uk/uksi/2014/3216/contents/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pga/2011/21/contents/enacted" TargetMode="External"/><Relationship Id="rId10" Type="http://schemas.openxmlformats.org/officeDocument/2006/relationships/image" Target="media/image2.jpeg"/><Relationship Id="rId19" Type="http://schemas.openxmlformats.org/officeDocument/2006/relationships/hyperlink" Target="http://www.legislation.gov.uk/uksi/2007/1870/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02/32/section/52"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f7ed4a4-b84a-41bc-a208-1911dc70c14d">
      <UserInfo>
        <DisplayName>Jane Parkinson</DisplayName>
        <AccountId>12</AccountId>
        <AccountType/>
      </UserInfo>
      <UserInfo>
        <DisplayName>Kate Roberts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447E0ABCC444C8C6417791B40DDFF" ma:contentTypeVersion="6" ma:contentTypeDescription="Create a new document." ma:contentTypeScope="" ma:versionID="b3b542f4525594fb964379265ca6ba0e">
  <xsd:schema xmlns:xsd="http://www.w3.org/2001/XMLSchema" xmlns:xs="http://www.w3.org/2001/XMLSchema" xmlns:p="http://schemas.microsoft.com/office/2006/metadata/properties" xmlns:ns2="c52276aa-d724-462d-a59d-141a247796ff" xmlns:ns3="7f7ed4a4-b84a-41bc-a208-1911dc70c14d" targetNamespace="http://schemas.microsoft.com/office/2006/metadata/properties" ma:root="true" ma:fieldsID="ee70ba0936529aca1a5bb29ff0102b1a" ns2:_="" ns3:_="">
    <xsd:import namespace="c52276aa-d724-462d-a59d-141a247796ff"/>
    <xsd:import namespace="7f7ed4a4-b84a-41bc-a208-1911dc70c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276aa-d724-462d-a59d-141a24779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ed4a4-b84a-41bc-a208-1911dc70c1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CE2E8-3A70-4819-9DE7-4D399211D966}">
  <ds:schemaRefs>
    <ds:schemaRef ds:uri="http://schemas.microsoft.com/sharepoint/v3/contenttype/forms"/>
  </ds:schemaRefs>
</ds:datastoreItem>
</file>

<file path=customXml/itemProps2.xml><?xml version="1.0" encoding="utf-8"?>
<ds:datastoreItem xmlns:ds="http://schemas.openxmlformats.org/officeDocument/2006/customXml" ds:itemID="{12FA22F2-033D-4B9E-A79A-E3CDF3A0343B}">
  <ds:schemaRefs>
    <ds:schemaRef ds:uri="7f7ed4a4-b84a-41bc-a208-1911dc70c1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276aa-d724-462d-a59d-141a247796ff"/>
    <ds:schemaRef ds:uri="http://www.w3.org/XML/1998/namespace"/>
    <ds:schemaRef ds:uri="http://purl.org/dc/dcmitype/"/>
  </ds:schemaRefs>
</ds:datastoreItem>
</file>

<file path=customXml/itemProps3.xml><?xml version="1.0" encoding="utf-8"?>
<ds:datastoreItem xmlns:ds="http://schemas.openxmlformats.org/officeDocument/2006/customXml" ds:itemID="{DAE71EA5-07E1-455F-8CAC-73465CB5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276aa-d724-462d-a59d-141a247796ff"/>
    <ds:schemaRef ds:uri="7f7ed4a4-b84a-41bc-a208-1911dc70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Roberts</dc:creator>
  <cp:keywords/>
  <dc:description/>
  <cp:lastModifiedBy>Matthew McCann</cp:lastModifiedBy>
  <cp:revision>2</cp:revision>
  <cp:lastPrinted>2021-11-22T13:00:00Z</cp:lastPrinted>
  <dcterms:created xsi:type="dcterms:W3CDTF">2022-12-15T19:54:00Z</dcterms:created>
  <dcterms:modified xsi:type="dcterms:W3CDTF">2022-12-15T19:54:00Z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0x010100402447E0ABCC444C8C6417791B40DDFF</vt:lpwstr>
  </property>
</Properties>
</file>